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4FDA2" w14:textId="39DEA6F7" w:rsidR="00D07C27" w:rsidRPr="00D57B30" w:rsidRDefault="00D57B30" w:rsidP="008246F4">
      <w:pPr>
        <w:pStyle w:val="Heading1"/>
        <w:ind w:right="545"/>
        <w:rPr>
          <w:color w:val="1F4E79" w:themeColor="accent1" w:themeShade="80"/>
        </w:rPr>
      </w:pPr>
      <w:r w:rsidRPr="00D57B30">
        <w:rPr>
          <w:color w:val="1F4E79" w:themeColor="accent1" w:themeShade="80"/>
        </w:rPr>
        <w:t>Agenda Item</w:t>
      </w:r>
      <w:r w:rsidR="00CD7475">
        <w:rPr>
          <w:color w:val="1F4E79" w:themeColor="accent1" w:themeShade="80"/>
        </w:rPr>
        <w:t xml:space="preserve"> 18</w:t>
      </w:r>
      <w:r w:rsidR="00EF5A3C">
        <w:rPr>
          <w:color w:val="1F4E79" w:themeColor="accent1" w:themeShade="80"/>
        </w:rPr>
        <w:t xml:space="preserve">:  </w:t>
      </w:r>
      <w:r w:rsidR="00A13403">
        <w:rPr>
          <w:color w:val="1F4E79" w:themeColor="accent1" w:themeShade="80"/>
        </w:rPr>
        <w:t xml:space="preserve">Meeting with </w:t>
      </w:r>
      <w:r w:rsidR="008F3B68">
        <w:rPr>
          <w:color w:val="1F4E79" w:themeColor="accent1" w:themeShade="80"/>
        </w:rPr>
        <w:t xml:space="preserve">At Large Advisory Committee (ALAC) </w:t>
      </w:r>
    </w:p>
    <w:p w14:paraId="1202E295" w14:textId="77777777" w:rsidR="00F21D6A" w:rsidRPr="00D57B30" w:rsidRDefault="00D57B30" w:rsidP="00C917F9">
      <w:pPr>
        <w:pStyle w:val="Heading2"/>
      </w:pPr>
      <w:r>
        <w:t>Issues</w:t>
      </w:r>
    </w:p>
    <w:p w14:paraId="306051BF" w14:textId="7B034428" w:rsidR="00C20FB7" w:rsidRPr="0043171A" w:rsidRDefault="007A2C1A" w:rsidP="00A13403">
      <w:pPr>
        <w:spacing w:after="200" w:line="276" w:lineRule="auto"/>
        <w:ind w:right="544"/>
        <w:contextualSpacing/>
        <w:jc w:val="both"/>
        <w:rPr>
          <w:rFonts w:ascii="Century Gothic" w:hAnsi="Century Gothic"/>
          <w:sz w:val="20"/>
          <w:szCs w:val="20"/>
        </w:rPr>
      </w:pPr>
      <w:r w:rsidRPr="0043171A">
        <w:rPr>
          <w:rFonts w:ascii="Century Gothic" w:hAnsi="Century Gothic"/>
          <w:sz w:val="20"/>
          <w:szCs w:val="20"/>
        </w:rPr>
        <w:t xml:space="preserve">Agendas for </w:t>
      </w:r>
      <w:r w:rsidR="00AD3D44" w:rsidRPr="0043171A">
        <w:rPr>
          <w:rFonts w:ascii="Century Gothic" w:hAnsi="Century Gothic"/>
          <w:sz w:val="20"/>
          <w:szCs w:val="20"/>
        </w:rPr>
        <w:t>GAC bilateral meetings of this type tend to change up until the last minute</w:t>
      </w:r>
      <w:r w:rsidR="0043171A">
        <w:rPr>
          <w:rFonts w:ascii="Century Gothic" w:hAnsi="Century Gothic"/>
          <w:sz w:val="20"/>
          <w:szCs w:val="20"/>
        </w:rPr>
        <w:t xml:space="preserve"> for a range of reasons</w:t>
      </w:r>
      <w:r w:rsidR="00AD3D44" w:rsidRPr="0043171A">
        <w:rPr>
          <w:rFonts w:ascii="Century Gothic" w:hAnsi="Century Gothic"/>
          <w:sz w:val="20"/>
          <w:szCs w:val="20"/>
        </w:rPr>
        <w:t xml:space="preserve">. However, the </w:t>
      </w:r>
      <w:r w:rsidR="00A13403" w:rsidRPr="0043171A">
        <w:rPr>
          <w:rFonts w:ascii="Century Gothic" w:hAnsi="Century Gothic"/>
          <w:sz w:val="20"/>
          <w:szCs w:val="20"/>
        </w:rPr>
        <w:t>follo</w:t>
      </w:r>
      <w:r w:rsidR="00252E14" w:rsidRPr="0043171A">
        <w:rPr>
          <w:rFonts w:ascii="Century Gothic" w:hAnsi="Century Gothic"/>
          <w:sz w:val="20"/>
          <w:szCs w:val="20"/>
        </w:rPr>
        <w:t xml:space="preserve">wing issues </w:t>
      </w:r>
      <w:r w:rsidR="006E4234" w:rsidRPr="0043171A">
        <w:rPr>
          <w:rFonts w:ascii="Century Gothic" w:hAnsi="Century Gothic"/>
          <w:sz w:val="20"/>
          <w:szCs w:val="20"/>
        </w:rPr>
        <w:t>are likely to be raised:</w:t>
      </w:r>
    </w:p>
    <w:p w14:paraId="34A77A03" w14:textId="736A6F95" w:rsidR="00AD3D44" w:rsidRPr="0043171A" w:rsidRDefault="00AD3D44" w:rsidP="006E4234">
      <w:pPr>
        <w:pStyle w:val="ListParagraph"/>
        <w:numPr>
          <w:ilvl w:val="0"/>
          <w:numId w:val="25"/>
        </w:numPr>
        <w:spacing w:line="360" w:lineRule="auto"/>
        <w:ind w:right="544"/>
        <w:contextualSpacing/>
        <w:rPr>
          <w:szCs w:val="20"/>
        </w:rPr>
      </w:pPr>
      <w:r w:rsidRPr="0043171A">
        <w:rPr>
          <w:szCs w:val="20"/>
        </w:rPr>
        <w:t>Introduction to ALAC</w:t>
      </w:r>
    </w:p>
    <w:p w14:paraId="55478D8E" w14:textId="29014A2A" w:rsidR="00AD3D44" w:rsidRPr="00AD3D44" w:rsidRDefault="00AD3D44" w:rsidP="00AD3D44">
      <w:pPr>
        <w:pStyle w:val="ListParagraph"/>
        <w:numPr>
          <w:ilvl w:val="0"/>
          <w:numId w:val="25"/>
        </w:numPr>
        <w:spacing w:line="360" w:lineRule="auto"/>
        <w:ind w:right="544"/>
        <w:contextualSpacing/>
        <w:rPr>
          <w:szCs w:val="20"/>
        </w:rPr>
      </w:pPr>
      <w:r>
        <w:rPr>
          <w:szCs w:val="20"/>
        </w:rPr>
        <w:t>European General Data Protection Regulation (GDPR).</w:t>
      </w:r>
    </w:p>
    <w:p w14:paraId="716E8663" w14:textId="0223DB7A" w:rsidR="006E4234" w:rsidRPr="00C20FB7" w:rsidRDefault="006E4234" w:rsidP="006E4234">
      <w:pPr>
        <w:pStyle w:val="ListParagraph"/>
        <w:numPr>
          <w:ilvl w:val="0"/>
          <w:numId w:val="25"/>
        </w:numPr>
        <w:spacing w:line="360" w:lineRule="auto"/>
        <w:ind w:right="544"/>
        <w:contextualSpacing/>
        <w:rPr>
          <w:szCs w:val="20"/>
        </w:rPr>
      </w:pPr>
      <w:r w:rsidRPr="00C20FB7">
        <w:rPr>
          <w:szCs w:val="20"/>
        </w:rPr>
        <w:t>New gTLD Subsequent Procedures PDP Work Track 5 (Geographic Names)</w:t>
      </w:r>
    </w:p>
    <w:p w14:paraId="015C3EB9" w14:textId="7B6E7830" w:rsidR="00C20FB7" w:rsidRPr="00C20FB7" w:rsidRDefault="00C20FB7" w:rsidP="00C20FB7">
      <w:pPr>
        <w:pStyle w:val="ListParagraph"/>
        <w:numPr>
          <w:ilvl w:val="0"/>
          <w:numId w:val="25"/>
        </w:numPr>
        <w:spacing w:line="360" w:lineRule="auto"/>
        <w:ind w:right="544"/>
        <w:contextualSpacing/>
        <w:rPr>
          <w:szCs w:val="20"/>
        </w:rPr>
      </w:pPr>
      <w:r w:rsidRPr="00C20FB7">
        <w:rPr>
          <w:szCs w:val="20"/>
        </w:rPr>
        <w:t>GAC-ALAC Joint Statement on enabling inclusive, informed and meaningful participation in ICANN.</w:t>
      </w:r>
    </w:p>
    <w:p w14:paraId="1286DAEF" w14:textId="7859A963" w:rsidR="00C20FB7" w:rsidRDefault="006E4234" w:rsidP="00C20FB7">
      <w:pPr>
        <w:pStyle w:val="ListParagraph"/>
        <w:numPr>
          <w:ilvl w:val="0"/>
          <w:numId w:val="25"/>
        </w:numPr>
        <w:spacing w:line="360" w:lineRule="auto"/>
        <w:ind w:right="544"/>
        <w:contextualSpacing/>
        <w:rPr>
          <w:szCs w:val="20"/>
        </w:rPr>
      </w:pPr>
      <w:r>
        <w:rPr>
          <w:szCs w:val="20"/>
        </w:rPr>
        <w:t>Response to Final Report of CCWG-Accountability Work Stream 2.</w:t>
      </w:r>
    </w:p>
    <w:p w14:paraId="22C43B18" w14:textId="16D18BED" w:rsidR="00AD3D44" w:rsidRPr="00C20FB7" w:rsidRDefault="003E2BD3" w:rsidP="00C20FB7">
      <w:pPr>
        <w:pStyle w:val="ListParagraph"/>
        <w:numPr>
          <w:ilvl w:val="0"/>
          <w:numId w:val="25"/>
        </w:numPr>
        <w:spacing w:line="360" w:lineRule="auto"/>
        <w:ind w:right="544"/>
        <w:contextualSpacing/>
        <w:rPr>
          <w:szCs w:val="20"/>
        </w:rPr>
      </w:pPr>
      <w:r>
        <w:rPr>
          <w:szCs w:val="20"/>
        </w:rPr>
        <w:t xml:space="preserve">Independent </w:t>
      </w:r>
      <w:r w:rsidR="00AD3D44">
        <w:rPr>
          <w:szCs w:val="20"/>
        </w:rPr>
        <w:t>Review</w:t>
      </w:r>
      <w:r>
        <w:rPr>
          <w:szCs w:val="20"/>
        </w:rPr>
        <w:t xml:space="preserve"> of ALAC</w:t>
      </w:r>
      <w:r w:rsidR="00AD3D44">
        <w:rPr>
          <w:szCs w:val="20"/>
        </w:rPr>
        <w:t>.</w:t>
      </w:r>
    </w:p>
    <w:p w14:paraId="10D6AD3B" w14:textId="34580247" w:rsidR="00406CEE" w:rsidRDefault="00663B24" w:rsidP="00C917F9">
      <w:pPr>
        <w:pStyle w:val="Heading2"/>
      </w:pPr>
      <w:r>
        <w:t>GAC Action Required</w:t>
      </w:r>
    </w:p>
    <w:p w14:paraId="2F5C2F04" w14:textId="78B2B0A2" w:rsidR="00AD3D44" w:rsidRPr="00AD3D44" w:rsidRDefault="00AD3D44" w:rsidP="00AD3D44">
      <w:pPr>
        <w:pStyle w:val="BodyText"/>
        <w:numPr>
          <w:ilvl w:val="0"/>
          <w:numId w:val="26"/>
        </w:numPr>
        <w:rPr>
          <w:b/>
          <w:color w:val="2E74B5" w:themeColor="accent1" w:themeShade="BF"/>
        </w:rPr>
      </w:pPr>
      <w:r w:rsidRPr="00AD3D44">
        <w:rPr>
          <w:b/>
          <w:color w:val="2E74B5" w:themeColor="accent1" w:themeShade="BF"/>
        </w:rPr>
        <w:t>Introduction to ALAC</w:t>
      </w:r>
    </w:p>
    <w:p w14:paraId="7A2F27FD" w14:textId="50D730AE" w:rsidR="00AD3D44" w:rsidRDefault="00AD3D44" w:rsidP="00AD3D44">
      <w:pPr>
        <w:pStyle w:val="BodyText"/>
      </w:pPr>
      <w:r>
        <w:t>ALAC will provide GAC with an overview of their role and activities.</w:t>
      </w:r>
    </w:p>
    <w:p w14:paraId="64EE229A" w14:textId="77777777" w:rsidR="00AD3D44" w:rsidRPr="006E4234" w:rsidRDefault="00AD3D44" w:rsidP="00AD3D44">
      <w:pPr>
        <w:pStyle w:val="BodyText"/>
        <w:numPr>
          <w:ilvl w:val="0"/>
          <w:numId w:val="26"/>
        </w:numPr>
        <w:rPr>
          <w:b/>
          <w:color w:val="2E74B5" w:themeColor="accent1" w:themeShade="BF"/>
          <w:szCs w:val="20"/>
        </w:rPr>
      </w:pPr>
      <w:r w:rsidRPr="006E4234">
        <w:rPr>
          <w:b/>
          <w:color w:val="2E74B5" w:themeColor="accent1" w:themeShade="BF"/>
          <w:szCs w:val="20"/>
        </w:rPr>
        <w:t>GDPR</w:t>
      </w:r>
    </w:p>
    <w:p w14:paraId="1EB25F04" w14:textId="5D2A5EF2" w:rsidR="00AD3D44" w:rsidRDefault="00AD3D44" w:rsidP="00AD3D44">
      <w:pPr>
        <w:pStyle w:val="BodyText"/>
        <w:rPr>
          <w:szCs w:val="20"/>
        </w:rPr>
      </w:pPr>
      <w:r w:rsidRPr="006E4234">
        <w:rPr>
          <w:szCs w:val="20"/>
        </w:rPr>
        <w:t>See separate briefing for the GAC under Agenda Items</w:t>
      </w:r>
      <w:r>
        <w:rPr>
          <w:szCs w:val="20"/>
        </w:rPr>
        <w:t xml:space="preserve"> 3. </w:t>
      </w:r>
      <w:r>
        <w:t>Issues will have developed further by the time of the meeting with ALAC.</w:t>
      </w:r>
    </w:p>
    <w:p w14:paraId="6A7350C2" w14:textId="3D89416E" w:rsidR="00AD3D44" w:rsidRDefault="00AD3D44" w:rsidP="00AD3D44">
      <w:pPr>
        <w:pStyle w:val="BodyText"/>
        <w:rPr>
          <w:szCs w:val="20"/>
        </w:rPr>
      </w:pPr>
      <w:r>
        <w:rPr>
          <w:szCs w:val="20"/>
        </w:rPr>
        <w:t>This would seem to mainly an opportunity for an exchange of views on the most recent developments, in particular the ICANN Temporary Specification and the proposed Expedited PDP.</w:t>
      </w:r>
    </w:p>
    <w:p w14:paraId="559FF8CB" w14:textId="033B66CF" w:rsidR="00AD3D44" w:rsidRPr="00AD3D44" w:rsidRDefault="00AD3D44" w:rsidP="00AD3D44">
      <w:pPr>
        <w:pStyle w:val="BodyText"/>
        <w:rPr>
          <w:szCs w:val="20"/>
        </w:rPr>
      </w:pPr>
      <w:r>
        <w:rPr>
          <w:szCs w:val="20"/>
        </w:rPr>
        <w:t>Some ALAC members are interested in GAC member views on whether there are tensions at the national level between law enforcement and privacy public policy objectives.</w:t>
      </w:r>
    </w:p>
    <w:p w14:paraId="7AED3CD1" w14:textId="7FA58A90" w:rsidR="007C384A" w:rsidRPr="006E4234" w:rsidRDefault="006E4234" w:rsidP="00C20FB7">
      <w:pPr>
        <w:pStyle w:val="BodyText"/>
        <w:numPr>
          <w:ilvl w:val="0"/>
          <w:numId w:val="26"/>
        </w:numPr>
        <w:rPr>
          <w:b/>
          <w:color w:val="2E74B5" w:themeColor="accent1" w:themeShade="BF"/>
        </w:rPr>
      </w:pPr>
      <w:r>
        <w:rPr>
          <w:b/>
          <w:color w:val="2E74B5" w:themeColor="accent1" w:themeShade="BF"/>
        </w:rPr>
        <w:t>Work Track 5: G</w:t>
      </w:r>
      <w:r w:rsidRPr="006E4234">
        <w:rPr>
          <w:b/>
          <w:color w:val="2E74B5" w:themeColor="accent1" w:themeShade="BF"/>
        </w:rPr>
        <w:t>eographic Names</w:t>
      </w:r>
    </w:p>
    <w:p w14:paraId="542E942E" w14:textId="3FC6B1D4" w:rsidR="006E4234" w:rsidRDefault="006E4234" w:rsidP="006E4234">
      <w:pPr>
        <w:pStyle w:val="BodyText"/>
      </w:pPr>
      <w:r>
        <w:t>See separate briefin</w:t>
      </w:r>
      <w:r w:rsidR="00AD3D44">
        <w:t>g f</w:t>
      </w:r>
      <w:r w:rsidR="00CD7475">
        <w:t xml:space="preserve">or the GAC under Agenda Item 6. </w:t>
      </w:r>
      <w:r w:rsidR="00AD3D44">
        <w:t>Issues will have developed further by the time of the meeting with ALAC.</w:t>
      </w:r>
    </w:p>
    <w:p w14:paraId="2BE4C63F" w14:textId="1E4ABD97" w:rsidR="0046742D" w:rsidRDefault="0046742D" w:rsidP="006E4234">
      <w:pPr>
        <w:pStyle w:val="BodyText"/>
      </w:pPr>
      <w:r>
        <w:t xml:space="preserve">The GAC and ALAC may wish to explore options for mutual support to make the most efficient use of participation in the meetings and online exchanges of Work Track 5. For example, exchange of views among GAC and ALAC participants before </w:t>
      </w:r>
      <w:r w:rsidR="00AD3D44">
        <w:t>meetings and</w:t>
      </w:r>
      <w:r>
        <w:t xml:space="preserve"> sharing of work in following up particular issues.</w:t>
      </w:r>
    </w:p>
    <w:p w14:paraId="0EA33C3C" w14:textId="0050CE6A" w:rsidR="006E4234" w:rsidRPr="006E4234" w:rsidRDefault="006E4234" w:rsidP="006E4234">
      <w:pPr>
        <w:pStyle w:val="ListParagraph"/>
        <w:numPr>
          <w:ilvl w:val="0"/>
          <w:numId w:val="26"/>
        </w:numPr>
        <w:spacing w:line="360" w:lineRule="auto"/>
        <w:ind w:right="544"/>
        <w:contextualSpacing/>
        <w:rPr>
          <w:b/>
          <w:color w:val="2E74B5" w:themeColor="accent1" w:themeShade="BF"/>
          <w:szCs w:val="20"/>
        </w:rPr>
      </w:pPr>
      <w:r w:rsidRPr="006E4234">
        <w:rPr>
          <w:b/>
          <w:color w:val="2E74B5" w:themeColor="accent1" w:themeShade="BF"/>
          <w:szCs w:val="20"/>
        </w:rPr>
        <w:t>GAC-ALAC Joint Statement.</w:t>
      </w:r>
    </w:p>
    <w:p w14:paraId="35BFA3DD" w14:textId="5D264964" w:rsidR="0046742D" w:rsidRDefault="0046742D" w:rsidP="0046742D">
      <w:pPr>
        <w:pStyle w:val="BodyText"/>
        <w:ind w:right="545"/>
      </w:pPr>
      <w:r>
        <w:rPr>
          <w:szCs w:val="20"/>
        </w:rPr>
        <w:t xml:space="preserve">The </w:t>
      </w:r>
      <w:hyperlink r:id="rId8" w:history="1">
        <w:r w:rsidRPr="003E2BD3">
          <w:rPr>
            <w:rStyle w:val="Hyperlink"/>
            <w:szCs w:val="20"/>
          </w:rPr>
          <w:t>Board’s response</w:t>
        </w:r>
      </w:hyperlink>
      <w:r>
        <w:rPr>
          <w:szCs w:val="20"/>
        </w:rPr>
        <w:t xml:space="preserve"> to the GAC and ALAC advice conveying the Joint Statement was essentially that </w:t>
      </w:r>
      <w:r>
        <w:t>ICANN Org is already doing, or is planning to do, all of the measures proposed by the GAC and ALAC. This is debatable. However, follow-up on this has not been a GAC priority.</w:t>
      </w:r>
    </w:p>
    <w:p w14:paraId="1022350F" w14:textId="731AA2B9" w:rsidR="003E2BD3" w:rsidRPr="00CD7475" w:rsidRDefault="00AD3D44" w:rsidP="00CD7475">
      <w:pPr>
        <w:spacing w:after="200" w:line="276" w:lineRule="auto"/>
        <w:jc w:val="both"/>
        <w:rPr>
          <w:rFonts w:ascii="Century Gothic" w:hAnsi="Century Gothic"/>
          <w:sz w:val="20"/>
          <w:szCs w:val="20"/>
        </w:rPr>
      </w:pPr>
      <w:r w:rsidRPr="003E2BD3">
        <w:rPr>
          <w:rFonts w:ascii="Century Gothic" w:hAnsi="Century Gothic"/>
          <w:sz w:val="20"/>
          <w:szCs w:val="20"/>
        </w:rPr>
        <w:lastRenderedPageBreak/>
        <w:t xml:space="preserve">ALAC may </w:t>
      </w:r>
      <w:r w:rsidR="0046742D" w:rsidRPr="003E2BD3">
        <w:rPr>
          <w:rFonts w:ascii="Century Gothic" w:hAnsi="Century Gothic"/>
          <w:sz w:val="20"/>
          <w:szCs w:val="20"/>
        </w:rPr>
        <w:t xml:space="preserve">seek GAC views on the extent to which the ICANN </w:t>
      </w:r>
      <w:hyperlink r:id="rId9" w:history="1">
        <w:r w:rsidR="0046742D" w:rsidRPr="00CD7475">
          <w:rPr>
            <w:rStyle w:val="Hyperlink"/>
            <w:rFonts w:ascii="Century Gothic" w:hAnsi="Century Gothic"/>
            <w:sz w:val="20"/>
            <w:szCs w:val="20"/>
          </w:rPr>
          <w:t>Information Transparency Initiative</w:t>
        </w:r>
      </w:hyperlink>
      <w:bookmarkStart w:id="0" w:name="_GoBack"/>
      <w:bookmarkEnd w:id="0"/>
      <w:r w:rsidR="0046742D" w:rsidRPr="003E2BD3">
        <w:rPr>
          <w:rFonts w:ascii="Century Gothic" w:hAnsi="Century Gothic"/>
          <w:sz w:val="20"/>
          <w:szCs w:val="20"/>
        </w:rPr>
        <w:t xml:space="preserve"> (ITI) is a useful step towards the aims of the Joint Statement.</w:t>
      </w:r>
      <w:r w:rsidR="003E2BD3" w:rsidRPr="003E2BD3">
        <w:rPr>
          <w:rFonts w:ascii="Century Gothic" w:hAnsi="Century Gothic"/>
          <w:sz w:val="20"/>
          <w:szCs w:val="20"/>
        </w:rPr>
        <w:t xml:space="preserve"> The ITI </w:t>
      </w:r>
      <w:r w:rsidR="003E2BD3" w:rsidRPr="003E2BD3">
        <w:rPr>
          <w:rFonts w:ascii="Century Gothic" w:hAnsi="Century Gothic"/>
          <w:color w:val="000000"/>
          <w:sz w:val="20"/>
          <w:szCs w:val="20"/>
          <w:shd w:val="clear" w:color="auto" w:fill="FFFFFF"/>
        </w:rPr>
        <w:t>is focused on improving access to and findability of ICANN's published information through the implementation of a first-ever document management system (DMS) and the enforcement of content governance. ITI will begin with content on </w:t>
      </w:r>
      <w:hyperlink r:id="rId10" w:history="1">
        <w:r w:rsidR="003E2BD3" w:rsidRPr="003E2BD3">
          <w:rPr>
            <w:rFonts w:ascii="Century Gothic" w:hAnsi="Century Gothic"/>
            <w:color w:val="954F72"/>
            <w:sz w:val="20"/>
            <w:szCs w:val="20"/>
            <w:u w:val="single"/>
          </w:rPr>
          <w:t>https://www.icann.org</w:t>
        </w:r>
      </w:hyperlink>
      <w:r w:rsidR="003E2BD3" w:rsidRPr="003E2BD3">
        <w:rPr>
          <w:rFonts w:ascii="Century Gothic" w:hAnsi="Century Gothic"/>
          <w:color w:val="000000"/>
          <w:sz w:val="20"/>
          <w:szCs w:val="20"/>
          <w:shd w:val="clear" w:color="auto" w:fill="FFFFFF"/>
        </w:rPr>
        <w:t>, which includes over 104,000 webpages, reports, correspondence, infographics, and audio and video files. The project officially kicked off in January 2018 and is expected to deliver that increased transparency of information and improved search in December 2019.</w:t>
      </w:r>
    </w:p>
    <w:p w14:paraId="01813B31" w14:textId="54A9C61D" w:rsidR="006E4234" w:rsidRPr="00AD3D44" w:rsidRDefault="00843888" w:rsidP="00AD3D44">
      <w:pPr>
        <w:pStyle w:val="BodyText"/>
        <w:ind w:right="545"/>
      </w:pPr>
      <w:r>
        <w:t>The GA</w:t>
      </w:r>
      <w:r w:rsidR="003E2BD3">
        <w:t xml:space="preserve">C was </w:t>
      </w:r>
      <w:r>
        <w:t xml:space="preserve">briefed on the ITI by ICANN </w:t>
      </w:r>
      <w:r w:rsidR="003E2BD3">
        <w:t xml:space="preserve">on 15 May 2018 </w:t>
      </w:r>
      <w:r>
        <w:t>by webinar.</w:t>
      </w:r>
    </w:p>
    <w:p w14:paraId="324ABC36" w14:textId="1B40FE42" w:rsidR="00C20FB7" w:rsidRPr="006E4234" w:rsidRDefault="006E4234" w:rsidP="00C20FB7">
      <w:pPr>
        <w:pStyle w:val="BodyText"/>
        <w:numPr>
          <w:ilvl w:val="0"/>
          <w:numId w:val="26"/>
        </w:numPr>
        <w:rPr>
          <w:b/>
          <w:color w:val="2E74B5" w:themeColor="accent1" w:themeShade="BF"/>
          <w:szCs w:val="20"/>
        </w:rPr>
      </w:pPr>
      <w:r w:rsidRPr="006E4234">
        <w:rPr>
          <w:b/>
          <w:color w:val="2E74B5" w:themeColor="accent1" w:themeShade="BF"/>
          <w:szCs w:val="20"/>
        </w:rPr>
        <w:t>CCWG WS2</w:t>
      </w:r>
    </w:p>
    <w:p w14:paraId="2766ED44" w14:textId="386FF835" w:rsidR="006E4234" w:rsidRDefault="006E4234" w:rsidP="006E4234">
      <w:pPr>
        <w:pStyle w:val="BodyText"/>
        <w:rPr>
          <w:szCs w:val="20"/>
        </w:rPr>
      </w:pPr>
      <w:r>
        <w:rPr>
          <w:szCs w:val="20"/>
        </w:rPr>
        <w:t xml:space="preserve">See separate briefing </w:t>
      </w:r>
      <w:r w:rsidR="00CD7475">
        <w:rPr>
          <w:szCs w:val="20"/>
        </w:rPr>
        <w:t>for the GAC under Agenda Item 25.</w:t>
      </w:r>
    </w:p>
    <w:p w14:paraId="6C8009A1" w14:textId="0B5A30DB" w:rsidR="00843888" w:rsidRDefault="00843888" w:rsidP="006E4234">
      <w:pPr>
        <w:pStyle w:val="BodyText"/>
        <w:rPr>
          <w:szCs w:val="20"/>
        </w:rPr>
      </w:pPr>
      <w:r>
        <w:rPr>
          <w:szCs w:val="20"/>
        </w:rPr>
        <w:t>The GAC and ALAC may wish to share latest developments with regard to their respective positions as Chartering Organisations of this CCWG.</w:t>
      </w:r>
    </w:p>
    <w:p w14:paraId="1E110213" w14:textId="4BC2FAF8" w:rsidR="003E2BD3" w:rsidRDefault="003E2BD3" w:rsidP="006E4234">
      <w:pPr>
        <w:pStyle w:val="BodyText"/>
        <w:rPr>
          <w:szCs w:val="20"/>
        </w:rPr>
      </w:pPr>
      <w:r>
        <w:rPr>
          <w:szCs w:val="20"/>
        </w:rPr>
        <w:t>The ALAC Chair has expressed concern that the recommendations will have a significant impact on ICANN resources.</w:t>
      </w:r>
    </w:p>
    <w:p w14:paraId="1222DEA1" w14:textId="626DB1FD" w:rsidR="00C17774" w:rsidRPr="00C17774" w:rsidRDefault="00C17774" w:rsidP="00C17774">
      <w:pPr>
        <w:pStyle w:val="BodyText"/>
        <w:numPr>
          <w:ilvl w:val="0"/>
          <w:numId w:val="26"/>
        </w:numPr>
        <w:rPr>
          <w:b/>
          <w:color w:val="2E74B5" w:themeColor="accent1" w:themeShade="BF"/>
          <w:szCs w:val="20"/>
        </w:rPr>
      </w:pPr>
      <w:r w:rsidRPr="00C17774">
        <w:rPr>
          <w:b/>
          <w:color w:val="2E74B5" w:themeColor="accent1" w:themeShade="BF"/>
          <w:szCs w:val="20"/>
        </w:rPr>
        <w:t>Independent Review of ALAC</w:t>
      </w:r>
    </w:p>
    <w:p w14:paraId="25521A91" w14:textId="14EFF33C" w:rsidR="00C17774" w:rsidRDefault="00C17774" w:rsidP="00C17774">
      <w:pPr>
        <w:pStyle w:val="BodyText"/>
        <w:rPr>
          <w:szCs w:val="20"/>
        </w:rPr>
      </w:pPr>
      <w:r>
        <w:rPr>
          <w:szCs w:val="20"/>
        </w:rPr>
        <w:t>All SOs/ACs, except for the GAC, are required to undergo regular external reviews of their structural arrangements.</w:t>
      </w:r>
    </w:p>
    <w:p w14:paraId="5453042F" w14:textId="6A972967" w:rsidR="00C17774" w:rsidRDefault="00C17774" w:rsidP="00C17774">
      <w:pPr>
        <w:pStyle w:val="BodyText"/>
        <w:rPr>
          <w:szCs w:val="20"/>
        </w:rPr>
      </w:pPr>
      <w:r>
        <w:rPr>
          <w:szCs w:val="20"/>
        </w:rPr>
        <w:t>The most recent review of ALAC has caused some controversy in the ICANN community, as ALAC leadership does not accept several of the recommendations.</w:t>
      </w:r>
    </w:p>
    <w:p w14:paraId="5D5E93B3" w14:textId="400EDAE2" w:rsidR="00C17774" w:rsidRPr="006E4234" w:rsidRDefault="00C17774" w:rsidP="00C17774">
      <w:pPr>
        <w:pStyle w:val="BodyText"/>
        <w:rPr>
          <w:szCs w:val="20"/>
        </w:rPr>
      </w:pPr>
      <w:r>
        <w:rPr>
          <w:szCs w:val="20"/>
        </w:rPr>
        <w:t>ALAC may provide an update on this.</w:t>
      </w:r>
    </w:p>
    <w:p w14:paraId="7B676123" w14:textId="3C5C71A7" w:rsidR="00663B24" w:rsidRDefault="00663B24" w:rsidP="00C917F9">
      <w:pPr>
        <w:pStyle w:val="Heading2"/>
      </w:pPr>
      <w:r>
        <w:t>Current Position</w:t>
      </w:r>
    </w:p>
    <w:p w14:paraId="0D714EBD" w14:textId="78AB4264" w:rsidR="00C17774" w:rsidRPr="00C917F9" w:rsidRDefault="00691DCB" w:rsidP="00C917F9">
      <w:pPr>
        <w:pStyle w:val="BodyText"/>
      </w:pPr>
      <w:r>
        <w:t>The current Chair of the ALAC Cou</w:t>
      </w:r>
      <w:r w:rsidR="00B250D5">
        <w:t>ncil is Alan Greenberg. The ALAC</w:t>
      </w:r>
      <w:r>
        <w:t xml:space="preserve"> Liaison to the GAC</w:t>
      </w:r>
      <w:r w:rsidR="00B250D5">
        <w:t xml:space="preserve"> is </w:t>
      </w:r>
      <w:r w:rsidR="007C1887">
        <w:t xml:space="preserve">Mr </w:t>
      </w:r>
      <w:proofErr w:type="spellStart"/>
      <w:r w:rsidR="00B250D5">
        <w:t>Yrjö</w:t>
      </w:r>
      <w:proofErr w:type="spellEnd"/>
      <w:r w:rsidR="00B250D5">
        <w:t xml:space="preserve"> </w:t>
      </w:r>
      <w:proofErr w:type="spellStart"/>
      <w:r w:rsidR="0061311D">
        <w:t>Länsipuro</w:t>
      </w:r>
      <w:proofErr w:type="spellEnd"/>
      <w:r w:rsidR="0061311D">
        <w:t>.</w:t>
      </w:r>
    </w:p>
    <w:p w14:paraId="04C07B0D" w14:textId="4C3CCD00" w:rsidR="00406CEE" w:rsidRDefault="00076811" w:rsidP="00C917F9">
      <w:pPr>
        <w:pStyle w:val="Heading2"/>
      </w:pPr>
      <w:r>
        <w:t>Further Information</w:t>
      </w:r>
    </w:p>
    <w:p w14:paraId="5499DB39" w14:textId="49948A1B" w:rsidR="00076811" w:rsidRPr="00076811" w:rsidRDefault="00663B24" w:rsidP="00AF4D4A">
      <w:pPr>
        <w:pStyle w:val="BodyText"/>
        <w:ind w:right="544"/>
      </w:pPr>
      <w:r>
        <w:t xml:space="preserve">ALAC </w:t>
      </w:r>
      <w:hyperlink r:id="rId11" w:history="1">
        <w:r w:rsidR="008F3B68" w:rsidRPr="007E309B">
          <w:rPr>
            <w:rStyle w:val="Hyperlink"/>
          </w:rPr>
          <w:t>website</w:t>
        </w:r>
      </w:hyperlink>
      <w:r w:rsidR="008F3B68">
        <w:t>.</w:t>
      </w:r>
    </w:p>
    <w:p w14:paraId="2D7BED41" w14:textId="77777777" w:rsidR="00076811" w:rsidRPr="003000B4" w:rsidRDefault="00076811" w:rsidP="00076811">
      <w:pPr>
        <w:rPr>
          <w:sz w:val="20"/>
          <w:szCs w:val="20"/>
        </w:rPr>
      </w:pPr>
    </w:p>
    <w:p w14:paraId="39C8F6DE" w14:textId="77777777" w:rsidR="00F21D6A" w:rsidRPr="00E016F8" w:rsidRDefault="00F21D6A" w:rsidP="008246F4">
      <w:pPr>
        <w:pStyle w:val="BodyText"/>
        <w:ind w:right="545"/>
      </w:pPr>
    </w:p>
    <w:p w14:paraId="3641119A" w14:textId="77777777" w:rsidR="00700CF9" w:rsidRDefault="00700CF9" w:rsidP="008246F4">
      <w:pPr>
        <w:pStyle w:val="BodyText"/>
        <w:ind w:right="545"/>
      </w:pPr>
    </w:p>
    <w:p w14:paraId="5CB4AB40" w14:textId="6E9B02B0" w:rsidR="00FF7774" w:rsidRDefault="00FF7774" w:rsidP="00C917F9">
      <w:pPr>
        <w:pStyle w:val="Heading2"/>
      </w:pPr>
    </w:p>
    <w:p w14:paraId="5188F5EF" w14:textId="046C5932" w:rsidR="00FF7774" w:rsidRDefault="00FF7774" w:rsidP="00C917F9">
      <w:pPr>
        <w:pStyle w:val="Heading2"/>
      </w:pPr>
      <w:r>
        <w:t>Document Administration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FF7774" w:rsidRPr="003F43E3" w14:paraId="3BCACF28" w14:textId="77777777" w:rsidTr="00C917F9">
        <w:trPr>
          <w:trHeight w:val="294"/>
        </w:trPr>
        <w:tc>
          <w:tcPr>
            <w:tcW w:w="3261" w:type="dxa"/>
            <w:vAlign w:val="center"/>
          </w:tcPr>
          <w:p w14:paraId="0E4FBAE1" w14:textId="77777777" w:rsidR="00FF7774" w:rsidRPr="00CD7475" w:rsidRDefault="00FF7774" w:rsidP="00D27E64">
            <w:pPr>
              <w:ind w:right="-132"/>
              <w:rPr>
                <w:rFonts w:ascii="Century Gothic" w:hAnsi="Century Gothic"/>
                <w:b/>
                <w:sz w:val="20"/>
                <w:szCs w:val="20"/>
              </w:rPr>
            </w:pPr>
            <w:r w:rsidRPr="00CD7475">
              <w:rPr>
                <w:rFonts w:ascii="Century Gothic" w:hAnsi="Century Gothic"/>
                <w:b/>
                <w:sz w:val="20"/>
                <w:szCs w:val="20"/>
              </w:rPr>
              <w:t>Title</w:t>
            </w:r>
          </w:p>
        </w:tc>
        <w:tc>
          <w:tcPr>
            <w:tcW w:w="5811" w:type="dxa"/>
            <w:vAlign w:val="center"/>
          </w:tcPr>
          <w:p w14:paraId="23C0F02E" w14:textId="6ABDB291" w:rsidR="00FF7774" w:rsidRPr="00CD7475" w:rsidRDefault="00FF7774" w:rsidP="00D27E64">
            <w:pPr>
              <w:ind w:right="545"/>
              <w:rPr>
                <w:rFonts w:ascii="Century Gothic" w:hAnsi="Century Gothic"/>
                <w:sz w:val="20"/>
                <w:szCs w:val="20"/>
              </w:rPr>
            </w:pPr>
            <w:r w:rsidRPr="00CD7475">
              <w:rPr>
                <w:rFonts w:ascii="Century Gothic" w:hAnsi="Century Gothic"/>
                <w:sz w:val="20"/>
                <w:szCs w:val="20"/>
              </w:rPr>
              <w:t>Meeting with At-Large Advisory Committee (ALAC)</w:t>
            </w:r>
          </w:p>
        </w:tc>
      </w:tr>
      <w:tr w:rsidR="00FF7774" w:rsidRPr="003F43E3" w14:paraId="435A03B4" w14:textId="77777777" w:rsidTr="00D27E64">
        <w:tc>
          <w:tcPr>
            <w:tcW w:w="3261" w:type="dxa"/>
            <w:vAlign w:val="center"/>
          </w:tcPr>
          <w:p w14:paraId="0DE10AF2" w14:textId="77777777" w:rsidR="00FF7774" w:rsidRPr="00CD7475" w:rsidRDefault="00FF7774" w:rsidP="00D27E64">
            <w:pPr>
              <w:ind w:right="-132"/>
              <w:rPr>
                <w:rFonts w:ascii="Century Gothic" w:hAnsi="Century Gothic"/>
                <w:b/>
                <w:sz w:val="20"/>
                <w:szCs w:val="20"/>
              </w:rPr>
            </w:pPr>
            <w:r w:rsidRPr="00CD7475">
              <w:rPr>
                <w:rFonts w:ascii="Century Gothic" w:hAnsi="Century Gothic"/>
                <w:b/>
                <w:sz w:val="20"/>
                <w:szCs w:val="20"/>
              </w:rPr>
              <w:t>Distribution</w:t>
            </w:r>
          </w:p>
        </w:tc>
        <w:tc>
          <w:tcPr>
            <w:tcW w:w="5811" w:type="dxa"/>
            <w:vAlign w:val="center"/>
          </w:tcPr>
          <w:p w14:paraId="0D6DAB87" w14:textId="77777777" w:rsidR="00FF7774" w:rsidRPr="00CD7475" w:rsidRDefault="00FF7774" w:rsidP="00D27E64">
            <w:pPr>
              <w:ind w:right="545"/>
              <w:rPr>
                <w:rFonts w:ascii="Century Gothic" w:hAnsi="Century Gothic"/>
                <w:sz w:val="20"/>
                <w:szCs w:val="20"/>
              </w:rPr>
            </w:pPr>
            <w:r w:rsidRPr="00CD7475">
              <w:rPr>
                <w:rFonts w:ascii="Century Gothic" w:hAnsi="Century Gothic"/>
                <w:sz w:val="20"/>
                <w:szCs w:val="20"/>
              </w:rPr>
              <w:t>GAC Members</w:t>
            </w:r>
          </w:p>
        </w:tc>
      </w:tr>
      <w:tr w:rsidR="00FF7774" w:rsidRPr="003F43E3" w14:paraId="32115CC9" w14:textId="77777777" w:rsidTr="00CD7475">
        <w:trPr>
          <w:trHeight w:val="77"/>
        </w:trPr>
        <w:tc>
          <w:tcPr>
            <w:tcW w:w="3261" w:type="dxa"/>
            <w:vAlign w:val="center"/>
          </w:tcPr>
          <w:p w14:paraId="6F4CE9ED" w14:textId="77777777" w:rsidR="00FF7774" w:rsidRPr="00CD7475" w:rsidRDefault="00FF7774" w:rsidP="00D27E64">
            <w:pPr>
              <w:ind w:right="-132"/>
              <w:rPr>
                <w:rFonts w:ascii="Century Gothic" w:hAnsi="Century Gothic"/>
                <w:b/>
                <w:sz w:val="20"/>
                <w:szCs w:val="20"/>
              </w:rPr>
            </w:pPr>
            <w:r w:rsidRPr="00CD7475">
              <w:rPr>
                <w:rFonts w:ascii="Century Gothic" w:hAnsi="Century Gothic"/>
                <w:b/>
                <w:sz w:val="20"/>
                <w:szCs w:val="20"/>
              </w:rPr>
              <w:t>Distribution Date</w:t>
            </w:r>
          </w:p>
        </w:tc>
        <w:tc>
          <w:tcPr>
            <w:tcW w:w="5811" w:type="dxa"/>
            <w:vAlign w:val="center"/>
          </w:tcPr>
          <w:p w14:paraId="74B72B9F" w14:textId="44270DF6" w:rsidR="00FF7774" w:rsidRPr="00CD7475" w:rsidRDefault="00CD7475" w:rsidP="00D27E64">
            <w:pPr>
              <w:ind w:right="545"/>
              <w:rPr>
                <w:rFonts w:ascii="Century Gothic" w:hAnsi="Century Gothic"/>
                <w:sz w:val="20"/>
                <w:szCs w:val="20"/>
              </w:rPr>
            </w:pPr>
            <w:r w:rsidRPr="00CD7475">
              <w:rPr>
                <w:rFonts w:ascii="Century Gothic" w:hAnsi="Century Gothic"/>
                <w:sz w:val="20"/>
                <w:szCs w:val="20"/>
              </w:rPr>
              <w:t>7 June 2018</w:t>
            </w:r>
          </w:p>
        </w:tc>
      </w:tr>
    </w:tbl>
    <w:p w14:paraId="397E9B11" w14:textId="77777777" w:rsidR="00D57B30" w:rsidRPr="00D57B30" w:rsidRDefault="00D57B30" w:rsidP="008246F4">
      <w:pPr>
        <w:pStyle w:val="BodyText"/>
        <w:ind w:right="545"/>
      </w:pPr>
    </w:p>
    <w:sectPr w:rsidR="00D57B30" w:rsidRPr="00D57B30" w:rsidSect="007A174E">
      <w:headerReference w:type="default" r:id="rId12"/>
      <w:footerReference w:type="default" r:id="rId13"/>
      <w:headerReference w:type="first" r:id="rId14"/>
      <w:footerReference w:type="first" r:id="rId15"/>
      <w:pgSz w:w="11907" w:h="16839" w:code="9"/>
      <w:pgMar w:top="1387" w:right="850" w:bottom="1440" w:left="1440" w:header="284"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2F642" w14:textId="77777777" w:rsidR="00981222" w:rsidRDefault="00981222" w:rsidP="00A24449">
      <w:r>
        <w:separator/>
      </w:r>
    </w:p>
  </w:endnote>
  <w:endnote w:type="continuationSeparator" w:id="0">
    <w:p w14:paraId="2530E306" w14:textId="77777777" w:rsidR="00981222" w:rsidRDefault="00981222" w:rsidP="00A2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EBCDB" w14:textId="77777777" w:rsidR="00CD540A" w:rsidRDefault="00CD540A" w:rsidP="002276FD">
    <w:pPr>
      <w:pStyle w:val="Footer"/>
      <w:ind w:left="-567" w:right="261"/>
    </w:pPr>
  </w:p>
  <w:p w14:paraId="230FF035" w14:textId="3E3ACB9C" w:rsidR="00CD540A" w:rsidRPr="00B026C8" w:rsidRDefault="00CD540A" w:rsidP="00FF7774">
    <w:pPr>
      <w:pBdr>
        <w:top w:val="single" w:sz="18" w:space="1" w:color="1F497D"/>
      </w:pBdr>
      <w:spacing w:before="240"/>
      <w:ind w:right="545"/>
      <w:rPr>
        <w:color w:val="00408E"/>
      </w:rPr>
    </w:pPr>
    <w:r>
      <w:rPr>
        <w:color w:val="00408E"/>
        <w:sz w:val="16"/>
        <w:szCs w:val="16"/>
      </w:rPr>
      <w:t xml:space="preserve">   </w:t>
    </w:r>
    <w:r>
      <w:rPr>
        <w:color w:val="00408E"/>
        <w:sz w:val="16"/>
        <w:szCs w:val="16"/>
      </w:rPr>
      <w:tab/>
      <w:t xml:space="preserve">                                                                                                                            </w:t>
    </w:r>
    <w:r w:rsidR="00FF7774">
      <w:rPr>
        <w:color w:val="00408E"/>
        <w:sz w:val="16"/>
        <w:szCs w:val="16"/>
      </w:rPr>
      <w:t xml:space="preserve"> </w:t>
    </w:r>
    <w:r w:rsidR="00FF7774">
      <w:rPr>
        <w:color w:val="00408E"/>
        <w:sz w:val="16"/>
        <w:szCs w:val="16"/>
      </w:rPr>
      <w:tab/>
    </w:r>
    <w:r w:rsidR="00FF7774">
      <w:rPr>
        <w:color w:val="00408E"/>
        <w:sz w:val="16"/>
        <w:szCs w:val="16"/>
      </w:rPr>
      <w:tab/>
    </w:r>
    <w:r w:rsidR="00FF7774">
      <w:rPr>
        <w:color w:val="00408E"/>
        <w:sz w:val="16"/>
        <w:szCs w:val="16"/>
      </w:rPr>
      <w:tab/>
      <w:t xml:space="preserve">    </w:t>
    </w:r>
    <w:r>
      <w:rPr>
        <w:color w:val="00408E"/>
        <w:sz w:val="16"/>
        <w:szCs w:val="16"/>
      </w:rPr>
      <w:t xml:space="preserve">  </w:t>
    </w:r>
    <w:r w:rsidRPr="00B026C8">
      <w:rPr>
        <w:color w:val="00408E"/>
        <w:sz w:val="16"/>
        <w:szCs w:val="16"/>
      </w:rPr>
      <w:t xml:space="preserve">Page </w:t>
    </w:r>
    <w:r w:rsidRPr="00B026C8">
      <w:rPr>
        <w:color w:val="00408E"/>
        <w:sz w:val="16"/>
        <w:szCs w:val="16"/>
      </w:rPr>
      <w:fldChar w:fldCharType="begin"/>
    </w:r>
    <w:r w:rsidRPr="00B026C8">
      <w:rPr>
        <w:color w:val="00408E"/>
        <w:sz w:val="16"/>
        <w:szCs w:val="16"/>
      </w:rPr>
      <w:instrText xml:space="preserve"> PAGE </w:instrText>
    </w:r>
    <w:r w:rsidRPr="00B026C8">
      <w:rPr>
        <w:color w:val="00408E"/>
        <w:sz w:val="16"/>
        <w:szCs w:val="16"/>
      </w:rPr>
      <w:fldChar w:fldCharType="separate"/>
    </w:r>
    <w:r w:rsidR="0061311D">
      <w:rPr>
        <w:noProof/>
        <w:color w:val="00408E"/>
        <w:sz w:val="16"/>
        <w:szCs w:val="16"/>
      </w:rPr>
      <w:t>1</w:t>
    </w:r>
    <w:r w:rsidRPr="00B026C8">
      <w:rPr>
        <w:color w:val="00408E"/>
        <w:sz w:val="16"/>
        <w:szCs w:val="16"/>
      </w:rPr>
      <w:fldChar w:fldCharType="end"/>
    </w:r>
    <w:r w:rsidRPr="00B026C8">
      <w:rPr>
        <w:color w:val="00408E"/>
        <w:sz w:val="16"/>
        <w:szCs w:val="16"/>
      </w:rPr>
      <w:t xml:space="preserve"> of </w:t>
    </w:r>
    <w:r w:rsidRPr="00B026C8">
      <w:rPr>
        <w:color w:val="00408E"/>
        <w:sz w:val="16"/>
        <w:szCs w:val="16"/>
      </w:rPr>
      <w:fldChar w:fldCharType="begin"/>
    </w:r>
    <w:r w:rsidRPr="00B026C8">
      <w:rPr>
        <w:color w:val="00408E"/>
        <w:sz w:val="16"/>
        <w:szCs w:val="16"/>
      </w:rPr>
      <w:instrText xml:space="preserve"> NUMPAGES  </w:instrText>
    </w:r>
    <w:r w:rsidRPr="00B026C8">
      <w:rPr>
        <w:color w:val="00408E"/>
        <w:sz w:val="16"/>
        <w:szCs w:val="16"/>
      </w:rPr>
      <w:fldChar w:fldCharType="separate"/>
    </w:r>
    <w:r w:rsidR="0061311D">
      <w:rPr>
        <w:noProof/>
        <w:color w:val="00408E"/>
        <w:sz w:val="16"/>
        <w:szCs w:val="16"/>
      </w:rPr>
      <w:t>3</w:t>
    </w:r>
    <w:r w:rsidRPr="00B026C8">
      <w:rPr>
        <w:color w:val="00408E"/>
        <w:sz w:val="16"/>
        <w:szCs w:val="16"/>
      </w:rPr>
      <w:fldChar w:fldCharType="end"/>
    </w:r>
  </w:p>
  <w:p w14:paraId="357EE225" w14:textId="77777777" w:rsidR="00CD540A" w:rsidRPr="000C0FD7" w:rsidRDefault="00CD540A" w:rsidP="003D7A8D">
    <w:pPr>
      <w:pStyle w:val="Footer"/>
      <w:tabs>
        <w:tab w:val="clear" w:pos="9360"/>
        <w:tab w:val="right" w:pos="8931"/>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DCF7D" w14:textId="77777777" w:rsidR="00CD540A" w:rsidRPr="00C2562C" w:rsidRDefault="00CD540A" w:rsidP="00740F60">
    <w:pPr>
      <w:pBdr>
        <w:top w:val="single" w:sz="18" w:space="1" w:color="1F497D"/>
      </w:pBdr>
      <w:spacing w:before="240"/>
      <w:ind w:right="544"/>
      <w:rPr>
        <w:color w:val="00408E"/>
        <w:sz w:val="2"/>
        <w:szCs w:val="2"/>
      </w:rPr>
    </w:pPr>
  </w:p>
  <w:p w14:paraId="399DE240" w14:textId="77777777" w:rsidR="00CD540A" w:rsidRPr="00B026C8" w:rsidRDefault="00CD540A" w:rsidP="00740F60">
    <w:pPr>
      <w:pStyle w:val="NoSpacing"/>
      <w:ind w:right="544"/>
      <w:jc w:val="right"/>
      <w:rPr>
        <w:sz w:val="16"/>
        <w:szCs w:val="16"/>
      </w:rPr>
    </w:pPr>
    <w:r w:rsidRPr="00B026C8">
      <w:rPr>
        <w:sz w:val="16"/>
        <w:szCs w:val="16"/>
      </w:rPr>
      <w:t xml:space="preserve">203 Drummond Street, Carlton VIC 3053 </w:t>
    </w:r>
  </w:p>
  <w:p w14:paraId="78FD8431" w14:textId="77777777" w:rsidR="00CD540A" w:rsidRPr="00B026C8" w:rsidRDefault="00CD540A" w:rsidP="00740F60">
    <w:pPr>
      <w:pStyle w:val="NoSpacing"/>
      <w:ind w:right="544"/>
      <w:jc w:val="right"/>
      <w:rPr>
        <w:sz w:val="16"/>
        <w:szCs w:val="16"/>
      </w:rPr>
    </w:pPr>
    <w:r w:rsidRPr="00B026C8">
      <w:rPr>
        <w:sz w:val="16"/>
        <w:szCs w:val="16"/>
      </w:rPr>
      <w:t>03 9650 7222</w:t>
    </w:r>
  </w:p>
  <w:p w14:paraId="30C54EED" w14:textId="77777777" w:rsidR="00CD540A" w:rsidRPr="00B026C8" w:rsidRDefault="00CD540A" w:rsidP="00740F60">
    <w:pPr>
      <w:pStyle w:val="NoSpacing"/>
      <w:ind w:right="544"/>
      <w:jc w:val="right"/>
      <w:rPr>
        <w:sz w:val="16"/>
        <w:szCs w:val="16"/>
      </w:rPr>
    </w:pPr>
    <w:r w:rsidRPr="00B026C8">
      <w:rPr>
        <w:sz w:val="16"/>
        <w:szCs w:val="16"/>
      </w:rPr>
      <w:t xml:space="preserve">www.acig.com.au </w:t>
    </w:r>
  </w:p>
  <w:p w14:paraId="1C71AF25" w14:textId="77777777" w:rsidR="00CD540A" w:rsidRDefault="00CD540A" w:rsidP="003D7A8D">
    <w:pPr>
      <w:pStyle w:val="Footer"/>
      <w:jc w:val="center"/>
      <w:rPr>
        <w:color w:val="00408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CB191" w14:textId="77777777" w:rsidR="00981222" w:rsidRDefault="00981222" w:rsidP="00A24449">
      <w:r>
        <w:separator/>
      </w:r>
    </w:p>
  </w:footnote>
  <w:footnote w:type="continuationSeparator" w:id="0">
    <w:p w14:paraId="171DA041" w14:textId="77777777" w:rsidR="00981222" w:rsidRDefault="00981222" w:rsidP="00A24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BABE2" w14:textId="77777777" w:rsidR="00CD540A" w:rsidRDefault="00CD540A" w:rsidP="002276FD">
    <w:pPr>
      <w:pStyle w:val="Header"/>
      <w:tabs>
        <w:tab w:val="clear" w:pos="4680"/>
        <w:tab w:val="clear" w:pos="9360"/>
      </w:tabs>
      <w:ind w:left="7920" w:right="-306" w:firstLine="444"/>
    </w:pPr>
    <w:r>
      <w:rPr>
        <w:noProof/>
        <w:lang w:val="en-GB" w:eastAsia="en-GB"/>
      </w:rPr>
      <w:drawing>
        <wp:inline distT="0" distB="0" distL="0" distR="0" wp14:anchorId="74B5324F" wp14:editId="6657EE05">
          <wp:extent cx="421005" cy="269875"/>
          <wp:effectExtent l="19050" t="0" r="0" b="0"/>
          <wp:docPr id="6" name="Picture 152" descr="acig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cig logo transparent"/>
                  <pic:cNvPicPr>
                    <a:picLocks noChangeAspect="1" noChangeArrowheads="1"/>
                  </pic:cNvPicPr>
                </pic:nvPicPr>
                <pic:blipFill>
                  <a:blip r:embed="rId1"/>
                  <a:srcRect/>
                  <a:stretch>
                    <a:fillRect/>
                  </a:stretch>
                </pic:blipFill>
                <pic:spPr bwMode="auto">
                  <a:xfrm>
                    <a:off x="0" y="0"/>
                    <a:ext cx="421005" cy="269875"/>
                  </a:xfrm>
                  <a:prstGeom prst="rect">
                    <a:avLst/>
                  </a:prstGeom>
                  <a:noFill/>
                  <a:ln w="9525">
                    <a:noFill/>
                    <a:miter lim="800000"/>
                    <a:headEnd/>
                    <a:tailEnd/>
                  </a:ln>
                </pic:spPr>
              </pic:pic>
            </a:graphicData>
          </a:graphic>
        </wp:inline>
      </w:drawing>
    </w:r>
    <w:r>
      <w:rPr>
        <w:noProof/>
        <w:lang w:val="en-GB" w:eastAsia="en-GB"/>
      </w:rPr>
      <mc:AlternateContent>
        <mc:Choice Requires="wps">
          <w:drawing>
            <wp:anchor distT="0" distB="0" distL="114300" distR="114300" simplePos="0" relativeHeight="251657728" behindDoc="1" locked="0" layoutInCell="1" allowOverlap="1" wp14:anchorId="56531041" wp14:editId="4BA370AB">
              <wp:simplePos x="0" y="0"/>
              <wp:positionH relativeFrom="column">
                <wp:posOffset>4536440</wp:posOffset>
              </wp:positionH>
              <wp:positionV relativeFrom="paragraph">
                <wp:posOffset>222885</wp:posOffset>
              </wp:positionV>
              <wp:extent cx="1340485" cy="297815"/>
              <wp:effectExtent l="2540" t="381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2978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37769CE" w14:textId="77777777" w:rsidR="00CD540A" w:rsidRPr="00A12C22" w:rsidRDefault="00CD540A" w:rsidP="00CD30A8">
                          <w:pPr>
                            <w:ind w:left="-142"/>
                            <w:rPr>
                              <w:rFonts w:ascii="Arial Narrow" w:hAnsi="Arial Narrow"/>
                              <w:color w:val="C00000"/>
                              <w:sz w:val="32"/>
                              <w:szCs w:val="32"/>
                            </w:rPr>
                          </w:pPr>
                          <w:r w:rsidRPr="00A12C22">
                            <w:rPr>
                              <w:rFonts w:ascii="Arial Narrow" w:hAnsi="Arial Narrow"/>
                              <w:color w:val="C00000"/>
                              <w:sz w:val="32"/>
                              <w:szCs w:val="32"/>
                            </w:rPr>
                            <w:t>GAC Secretariat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31041" id="_x0000_t202" coordsize="21600,21600" o:spt="202" path="m,l,21600r21600,l21600,xe">
              <v:stroke joinstyle="miter"/>
              <v:path gradientshapeok="t" o:connecttype="rect"/>
            </v:shapetype>
            <v:shape id="Text Box 4" o:spid="_x0000_s1026" type="#_x0000_t202" style="position:absolute;left:0;text-align:left;margin-left:357.2pt;margin-top:17.55pt;width:105.55pt;height:2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" stroked="f">
              <v:textbox>
                <w:txbxContent>
                  <w:p w14:paraId="437769CE" w14:textId="77777777" w:rsidR="00CD540A" w:rsidRPr="00A12C22" w:rsidRDefault="00CD540A" w:rsidP="00CD30A8">
                    <w:pPr>
                      <w:ind w:left="-142"/>
                      <w:rPr>
                        <w:rFonts w:ascii="Arial Narrow" w:hAnsi="Arial Narrow"/>
                        <w:color w:val="C00000"/>
                        <w:sz w:val="32"/>
                        <w:szCs w:val="32"/>
                      </w:rPr>
                    </w:pPr>
                    <w:r w:rsidRPr="00A12C22">
                      <w:rPr>
                        <w:rFonts w:ascii="Arial Narrow" w:hAnsi="Arial Narrow"/>
                        <w:color w:val="C00000"/>
                        <w:sz w:val="32"/>
                        <w:szCs w:val="32"/>
                      </w:rPr>
                      <w:t>GAC Secretariat</w:t>
                    </w:r>
                  </w:p>
                </w:txbxContent>
              </v:textbox>
            </v:shap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8AD20" w14:textId="77777777" w:rsidR="00CD540A" w:rsidRDefault="00CD540A" w:rsidP="00C2562C">
    <w:pPr>
      <w:pStyle w:val="Header"/>
      <w:tabs>
        <w:tab w:val="clear" w:pos="9360"/>
      </w:tabs>
      <w:ind w:left="-851"/>
      <w:jc w:val="center"/>
    </w:pPr>
    <w:r>
      <w:rPr>
        <w:noProof/>
        <w:lang w:val="en-GB" w:eastAsia="en-GB"/>
      </w:rPr>
      <w:drawing>
        <wp:inline distT="0" distB="0" distL="0" distR="0" wp14:anchorId="58262EE7" wp14:editId="4BE24B81">
          <wp:extent cx="3049905" cy="789940"/>
          <wp:effectExtent l="19050" t="0" r="0" b="0"/>
          <wp:docPr id="2" name="Picture 2" descr="ACIG logo Lo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G logo Long transparent"/>
                  <pic:cNvPicPr>
                    <a:picLocks noChangeAspect="1" noChangeArrowheads="1"/>
                  </pic:cNvPicPr>
                </pic:nvPicPr>
                <pic:blipFill>
                  <a:blip r:embed="rId1"/>
                  <a:srcRect/>
                  <a:stretch>
                    <a:fillRect/>
                  </a:stretch>
                </pic:blipFill>
                <pic:spPr bwMode="auto">
                  <a:xfrm>
                    <a:off x="0" y="0"/>
                    <a:ext cx="3049905" cy="789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FE7A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EA2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382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DE9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B4F4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28C4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82D0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EC9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9E4D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741A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8BA"/>
    <w:multiLevelType w:val="hybridMultilevel"/>
    <w:tmpl w:val="2E9C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F13F57"/>
    <w:multiLevelType w:val="hybridMultilevel"/>
    <w:tmpl w:val="543A8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533AD2"/>
    <w:multiLevelType w:val="hybridMultilevel"/>
    <w:tmpl w:val="8C18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813F85"/>
    <w:multiLevelType w:val="hybridMultilevel"/>
    <w:tmpl w:val="15781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086682"/>
    <w:multiLevelType w:val="hybridMultilevel"/>
    <w:tmpl w:val="5948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140349"/>
    <w:multiLevelType w:val="hybridMultilevel"/>
    <w:tmpl w:val="7EC49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0E6298"/>
    <w:multiLevelType w:val="hybridMultilevel"/>
    <w:tmpl w:val="7520B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FF7599"/>
    <w:multiLevelType w:val="hybridMultilevel"/>
    <w:tmpl w:val="7F009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3EC1ED1"/>
    <w:multiLevelType w:val="hybridMultilevel"/>
    <w:tmpl w:val="F19C9E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B444E59"/>
    <w:multiLevelType w:val="hybridMultilevel"/>
    <w:tmpl w:val="D0A049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63D03"/>
    <w:multiLevelType w:val="hybridMultilevel"/>
    <w:tmpl w:val="61CE9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B6D90"/>
    <w:multiLevelType w:val="hybridMultilevel"/>
    <w:tmpl w:val="56E63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392D8F"/>
    <w:multiLevelType w:val="hybridMultilevel"/>
    <w:tmpl w:val="E3942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74613D"/>
    <w:multiLevelType w:val="hybridMultilevel"/>
    <w:tmpl w:val="61CE9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FA7D23"/>
    <w:multiLevelType w:val="hybridMultilevel"/>
    <w:tmpl w:val="0F442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7F5318"/>
    <w:multiLevelType w:val="hybridMultilevel"/>
    <w:tmpl w:val="A88A34A0"/>
    <w:lvl w:ilvl="0" w:tplc="66068FF0">
      <w:start w:val="1"/>
      <w:numFmt w:val="bullet"/>
      <w:pStyle w:val="ListBullet2"/>
      <w:lvlText w:val=""/>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26" w15:restartNumberingAfterBreak="0">
    <w:nsid w:val="674624A6"/>
    <w:multiLevelType w:val="hybridMultilevel"/>
    <w:tmpl w:val="6D76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1A7E4A"/>
    <w:multiLevelType w:val="hybridMultilevel"/>
    <w:tmpl w:val="73305E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24"/>
  </w:num>
  <w:num w:numId="14">
    <w:abstractNumId w:val="21"/>
  </w:num>
  <w:num w:numId="15">
    <w:abstractNumId w:val="19"/>
  </w:num>
  <w:num w:numId="16">
    <w:abstractNumId w:val="22"/>
  </w:num>
  <w:num w:numId="17">
    <w:abstractNumId w:val="15"/>
  </w:num>
  <w:num w:numId="18">
    <w:abstractNumId w:val="14"/>
  </w:num>
  <w:num w:numId="19">
    <w:abstractNumId w:val="23"/>
  </w:num>
  <w:num w:numId="20">
    <w:abstractNumId w:val="11"/>
  </w:num>
  <w:num w:numId="21">
    <w:abstractNumId w:val="20"/>
  </w:num>
  <w:num w:numId="22">
    <w:abstractNumId w:val="26"/>
  </w:num>
  <w:num w:numId="23">
    <w:abstractNumId w:val="10"/>
  </w:num>
  <w:num w:numId="24">
    <w:abstractNumId w:val="13"/>
  </w:num>
  <w:num w:numId="25">
    <w:abstractNumId w:val="27"/>
  </w:num>
  <w:num w:numId="26">
    <w:abstractNumId w:val="18"/>
  </w:num>
  <w:num w:numId="27">
    <w:abstractNumId w:val="1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1B6"/>
    <w:rsid w:val="00017DDB"/>
    <w:rsid w:val="00020EA8"/>
    <w:rsid w:val="00023512"/>
    <w:rsid w:val="0002714F"/>
    <w:rsid w:val="000328A2"/>
    <w:rsid w:val="00032B7E"/>
    <w:rsid w:val="00076811"/>
    <w:rsid w:val="00083BC8"/>
    <w:rsid w:val="000964B7"/>
    <w:rsid w:val="000B4BF2"/>
    <w:rsid w:val="000C0FD7"/>
    <w:rsid w:val="000C5167"/>
    <w:rsid w:val="000C6B2E"/>
    <w:rsid w:val="000D71C9"/>
    <w:rsid w:val="00103E59"/>
    <w:rsid w:val="00137E92"/>
    <w:rsid w:val="001577F4"/>
    <w:rsid w:val="0016195D"/>
    <w:rsid w:val="00181EFF"/>
    <w:rsid w:val="001B337F"/>
    <w:rsid w:val="001D57EC"/>
    <w:rsid w:val="002110FA"/>
    <w:rsid w:val="002276FD"/>
    <w:rsid w:val="00250279"/>
    <w:rsid w:val="00252E14"/>
    <w:rsid w:val="00273354"/>
    <w:rsid w:val="002C0BDE"/>
    <w:rsid w:val="00327A1A"/>
    <w:rsid w:val="003308BB"/>
    <w:rsid w:val="003401B4"/>
    <w:rsid w:val="00354F4B"/>
    <w:rsid w:val="003643C4"/>
    <w:rsid w:val="003644DC"/>
    <w:rsid w:val="00364F2E"/>
    <w:rsid w:val="003961C1"/>
    <w:rsid w:val="003D3781"/>
    <w:rsid w:val="003D7A8D"/>
    <w:rsid w:val="003E134F"/>
    <w:rsid w:val="003E2BD3"/>
    <w:rsid w:val="003E540D"/>
    <w:rsid w:val="00400344"/>
    <w:rsid w:val="00406CEE"/>
    <w:rsid w:val="00412A64"/>
    <w:rsid w:val="00416093"/>
    <w:rsid w:val="004256A5"/>
    <w:rsid w:val="0043171A"/>
    <w:rsid w:val="00454CBD"/>
    <w:rsid w:val="0046742D"/>
    <w:rsid w:val="00482610"/>
    <w:rsid w:val="004837E2"/>
    <w:rsid w:val="00492E56"/>
    <w:rsid w:val="004A58B8"/>
    <w:rsid w:val="004D7546"/>
    <w:rsid w:val="004E22C7"/>
    <w:rsid w:val="004E2498"/>
    <w:rsid w:val="0051347B"/>
    <w:rsid w:val="00515091"/>
    <w:rsid w:val="00577F86"/>
    <w:rsid w:val="00580A87"/>
    <w:rsid w:val="005E2917"/>
    <w:rsid w:val="0061311D"/>
    <w:rsid w:val="00624AEC"/>
    <w:rsid w:val="00652018"/>
    <w:rsid w:val="006632C8"/>
    <w:rsid w:val="00663B24"/>
    <w:rsid w:val="006735F6"/>
    <w:rsid w:val="0067792E"/>
    <w:rsid w:val="00683C6C"/>
    <w:rsid w:val="006850D5"/>
    <w:rsid w:val="00691DCB"/>
    <w:rsid w:val="006E3E83"/>
    <w:rsid w:val="006E4234"/>
    <w:rsid w:val="00700CF9"/>
    <w:rsid w:val="00722431"/>
    <w:rsid w:val="0072423D"/>
    <w:rsid w:val="00731C3E"/>
    <w:rsid w:val="00734DE5"/>
    <w:rsid w:val="00740F60"/>
    <w:rsid w:val="007670C2"/>
    <w:rsid w:val="00767678"/>
    <w:rsid w:val="007A174E"/>
    <w:rsid w:val="007A2C1A"/>
    <w:rsid w:val="007C1887"/>
    <w:rsid w:val="007C384A"/>
    <w:rsid w:val="007C4AA0"/>
    <w:rsid w:val="007D32B7"/>
    <w:rsid w:val="007E309B"/>
    <w:rsid w:val="007F31B6"/>
    <w:rsid w:val="0080292E"/>
    <w:rsid w:val="00815A76"/>
    <w:rsid w:val="00817EAC"/>
    <w:rsid w:val="00821E40"/>
    <w:rsid w:val="008246F4"/>
    <w:rsid w:val="00827F77"/>
    <w:rsid w:val="00843888"/>
    <w:rsid w:val="00854588"/>
    <w:rsid w:val="008822A3"/>
    <w:rsid w:val="00882354"/>
    <w:rsid w:val="008B2849"/>
    <w:rsid w:val="008C4F95"/>
    <w:rsid w:val="008F3B68"/>
    <w:rsid w:val="008F73CE"/>
    <w:rsid w:val="009123B6"/>
    <w:rsid w:val="00972EBA"/>
    <w:rsid w:val="00981222"/>
    <w:rsid w:val="00984323"/>
    <w:rsid w:val="0099631A"/>
    <w:rsid w:val="009B375D"/>
    <w:rsid w:val="009C77A8"/>
    <w:rsid w:val="00A01D51"/>
    <w:rsid w:val="00A07882"/>
    <w:rsid w:val="00A12C22"/>
    <w:rsid w:val="00A13403"/>
    <w:rsid w:val="00A24449"/>
    <w:rsid w:val="00A40DB0"/>
    <w:rsid w:val="00A660EB"/>
    <w:rsid w:val="00A86B36"/>
    <w:rsid w:val="00AA0126"/>
    <w:rsid w:val="00AA7319"/>
    <w:rsid w:val="00AC5490"/>
    <w:rsid w:val="00AC54BB"/>
    <w:rsid w:val="00AD1076"/>
    <w:rsid w:val="00AD3D44"/>
    <w:rsid w:val="00AE263F"/>
    <w:rsid w:val="00AF4D4A"/>
    <w:rsid w:val="00B026C8"/>
    <w:rsid w:val="00B21330"/>
    <w:rsid w:val="00B22FE8"/>
    <w:rsid w:val="00B250D5"/>
    <w:rsid w:val="00B72D49"/>
    <w:rsid w:val="00BA0533"/>
    <w:rsid w:val="00BA5EF0"/>
    <w:rsid w:val="00C114D4"/>
    <w:rsid w:val="00C1188D"/>
    <w:rsid w:val="00C144AE"/>
    <w:rsid w:val="00C17774"/>
    <w:rsid w:val="00C20FB7"/>
    <w:rsid w:val="00C21952"/>
    <w:rsid w:val="00C2562C"/>
    <w:rsid w:val="00C26F6D"/>
    <w:rsid w:val="00C3454E"/>
    <w:rsid w:val="00C50C2C"/>
    <w:rsid w:val="00C70CD9"/>
    <w:rsid w:val="00C908F7"/>
    <w:rsid w:val="00C917F9"/>
    <w:rsid w:val="00C9701E"/>
    <w:rsid w:val="00CB3C6C"/>
    <w:rsid w:val="00CB7A48"/>
    <w:rsid w:val="00CD30A8"/>
    <w:rsid w:val="00CD540A"/>
    <w:rsid w:val="00CD57F8"/>
    <w:rsid w:val="00CD7113"/>
    <w:rsid w:val="00CD7475"/>
    <w:rsid w:val="00CF0606"/>
    <w:rsid w:val="00CF25E7"/>
    <w:rsid w:val="00CF4236"/>
    <w:rsid w:val="00CF4E9A"/>
    <w:rsid w:val="00D01CBD"/>
    <w:rsid w:val="00D049CB"/>
    <w:rsid w:val="00D07C27"/>
    <w:rsid w:val="00D20477"/>
    <w:rsid w:val="00D41280"/>
    <w:rsid w:val="00D5733E"/>
    <w:rsid w:val="00D57B30"/>
    <w:rsid w:val="00D86EA8"/>
    <w:rsid w:val="00D9442D"/>
    <w:rsid w:val="00DA436F"/>
    <w:rsid w:val="00DA46B6"/>
    <w:rsid w:val="00DE2827"/>
    <w:rsid w:val="00DE621B"/>
    <w:rsid w:val="00DF23A2"/>
    <w:rsid w:val="00DF5B00"/>
    <w:rsid w:val="00E016F8"/>
    <w:rsid w:val="00E3060B"/>
    <w:rsid w:val="00E57BDD"/>
    <w:rsid w:val="00E7196B"/>
    <w:rsid w:val="00E9134A"/>
    <w:rsid w:val="00EA3A02"/>
    <w:rsid w:val="00EB1CAA"/>
    <w:rsid w:val="00ED40DF"/>
    <w:rsid w:val="00EF5A3C"/>
    <w:rsid w:val="00F05CC8"/>
    <w:rsid w:val="00F21D6A"/>
    <w:rsid w:val="00F2275F"/>
    <w:rsid w:val="00F4462E"/>
    <w:rsid w:val="00F46F4F"/>
    <w:rsid w:val="00F65E75"/>
    <w:rsid w:val="00F72FA0"/>
    <w:rsid w:val="00F96D2C"/>
    <w:rsid w:val="00FF77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CC8B76"/>
  <w15:docId w15:val="{E73DF7AB-EBB5-4379-A15E-0B1EC57A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alibri" w:hAnsi="Century Gothic"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2BD3"/>
    <w:rPr>
      <w:rFonts w:ascii="Times New Roman" w:eastAsia="Times New Roman" w:hAnsi="Times New Roman"/>
      <w:sz w:val="24"/>
      <w:szCs w:val="24"/>
      <w:lang w:eastAsia="en-US"/>
    </w:rPr>
  </w:style>
  <w:style w:type="paragraph" w:styleId="Heading1">
    <w:name w:val="heading 1"/>
    <w:next w:val="BodyText"/>
    <w:link w:val="Heading1Ch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lang w:eastAsia="en-US"/>
    </w:rPr>
  </w:style>
  <w:style w:type="paragraph" w:styleId="Heading2">
    <w:name w:val="heading 2"/>
    <w:basedOn w:val="BodyText"/>
    <w:next w:val="BodyText"/>
    <w:link w:val="Heading2Char"/>
    <w:autoRedefine/>
    <w:uiPriority w:val="9"/>
    <w:unhideWhenUsed/>
    <w:qFormat/>
    <w:rsid w:val="00C917F9"/>
    <w:pPr>
      <w:keepNext/>
      <w:keepLines/>
      <w:ind w:right="544"/>
      <w:outlineLvl w:val="1"/>
    </w:pPr>
    <w:rPr>
      <w:b/>
      <w:color w:val="1F4E79" w:themeColor="accent1" w:themeShade="80"/>
      <w:sz w:val="24"/>
      <w:szCs w:val="24"/>
    </w:rPr>
  </w:style>
  <w:style w:type="paragraph" w:styleId="Heading3">
    <w:name w:val="heading 3"/>
    <w:basedOn w:val="BodyText"/>
    <w:next w:val="BodyText"/>
    <w:link w:val="Heading3Char"/>
    <w:uiPriority w:val="9"/>
    <w:unhideWhenUsed/>
    <w:qFormat/>
    <w:rsid w:val="00CF4E9A"/>
    <w:pPr>
      <w:keepNext/>
      <w:keepLines/>
      <w:jc w:val="left"/>
      <w:outlineLvl w:val="2"/>
    </w:pPr>
    <w:rPr>
      <w:b/>
      <w:color w:val="00408E"/>
    </w:rPr>
  </w:style>
  <w:style w:type="paragraph" w:styleId="Heading4">
    <w:name w:val="heading 4"/>
    <w:basedOn w:val="BodyText"/>
    <w:next w:val="BodyText"/>
    <w:link w:val="Heading4Char"/>
    <w:uiPriority w:val="9"/>
    <w:unhideWhenUsed/>
    <w:qFormat/>
    <w:rsid w:val="004E22C7"/>
    <w:pPr>
      <w:keepNext/>
      <w:keepLines/>
      <w:jc w:val="left"/>
      <w:outlineLvl w:val="3"/>
    </w:pPr>
    <w:rPr>
      <w:color w:val="00408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17F9"/>
    <w:rPr>
      <w:b/>
      <w:color w:val="1F4E79" w:themeColor="accent1" w:themeShade="80"/>
      <w:sz w:val="24"/>
      <w:szCs w:val="24"/>
      <w:lang w:eastAsia="en-US"/>
    </w:rPr>
  </w:style>
  <w:style w:type="paragraph" w:styleId="TOC1">
    <w:name w:val="toc 1"/>
    <w:basedOn w:val="Normal"/>
    <w:next w:val="Normal"/>
    <w:uiPriority w:val="39"/>
    <w:rsid w:val="009123B6"/>
    <w:pPr>
      <w:widowControl w:val="0"/>
      <w:tabs>
        <w:tab w:val="left" w:leader="dot" w:pos="7938"/>
      </w:tabs>
      <w:suppressAutoHyphens/>
      <w:spacing w:before="240" w:after="300"/>
      <w:ind w:left="1134" w:hanging="567"/>
      <w:jc w:val="both"/>
    </w:pPr>
    <w:rPr>
      <w:rFonts w:ascii="Century Gothic" w:eastAsiaTheme="minorEastAsia" w:hAnsi="Century Gothic" w:cstheme="minorBidi"/>
      <w:b/>
      <w:bCs/>
      <w:sz w:val="28"/>
      <w:lang w:val="en-US"/>
    </w:rPr>
  </w:style>
  <w:style w:type="paragraph" w:styleId="Header">
    <w:name w:val="header"/>
    <w:basedOn w:val="BodyText"/>
    <w:link w:val="HeaderChar"/>
    <w:uiPriority w:val="99"/>
    <w:unhideWhenUsed/>
    <w:rsid w:val="00A24449"/>
    <w:pPr>
      <w:tabs>
        <w:tab w:val="center" w:pos="4680"/>
        <w:tab w:val="right" w:pos="9360"/>
      </w:tabs>
    </w:pPr>
  </w:style>
  <w:style w:type="character" w:customStyle="1" w:styleId="HeaderChar">
    <w:name w:val="Header Char"/>
    <w:basedOn w:val="DefaultParagraphFont"/>
    <w:link w:val="Header"/>
    <w:uiPriority w:val="99"/>
    <w:rsid w:val="00AD1076"/>
    <w:rPr>
      <w:rFonts w:ascii="Century Gothic" w:hAnsi="Century Gothic"/>
      <w:szCs w:val="22"/>
      <w:lang w:val="en-AU"/>
    </w:rPr>
  </w:style>
  <w:style w:type="paragraph" w:styleId="Footer">
    <w:name w:val="footer"/>
    <w:basedOn w:val="Normal"/>
    <w:link w:val="FooterChar"/>
    <w:uiPriority w:val="99"/>
    <w:unhideWhenUsed/>
    <w:rsid w:val="00A24449"/>
    <w:pPr>
      <w:tabs>
        <w:tab w:val="center" w:pos="4680"/>
        <w:tab w:val="right" w:pos="9360"/>
      </w:tabs>
      <w:spacing w:after="200" w:line="276" w:lineRule="auto"/>
      <w:jc w:val="both"/>
    </w:pPr>
    <w:rPr>
      <w:rFonts w:ascii="Century Gothic" w:eastAsia="Calibri" w:hAnsi="Century Gothic" w:cstheme="minorBidi"/>
      <w:sz w:val="20"/>
      <w:szCs w:val="22"/>
      <w:lang w:val="en-US"/>
    </w:rPr>
  </w:style>
  <w:style w:type="character" w:customStyle="1" w:styleId="FooterChar">
    <w:name w:val="Footer Char"/>
    <w:basedOn w:val="DefaultParagraphFont"/>
    <w:link w:val="Footer"/>
    <w:uiPriority w:val="99"/>
    <w:rsid w:val="00A24449"/>
    <w:rPr>
      <w:rFonts w:ascii="Century Gothic" w:hAnsi="Century Gothic"/>
      <w:szCs w:val="22"/>
      <w:lang w:val="en-AU"/>
    </w:rPr>
  </w:style>
  <w:style w:type="character" w:customStyle="1" w:styleId="Heading1Char">
    <w:name w:val="Heading 1 Char"/>
    <w:basedOn w:val="DefaultParagraphFont"/>
    <w:link w:val="Heading1"/>
    <w:uiPriority w:val="9"/>
    <w:rsid w:val="00CF4E9A"/>
    <w:rPr>
      <w:b/>
      <w:color w:val="00408E"/>
      <w:sz w:val="28"/>
      <w:szCs w:val="28"/>
      <w:lang w:val="en-AU" w:eastAsia="en-US" w:bidi="ar-SA"/>
    </w:rPr>
  </w:style>
  <w:style w:type="paragraph" w:styleId="Title">
    <w:name w:val="Title"/>
    <w:basedOn w:val="BodyText"/>
    <w:next w:val="BodyText"/>
    <w:link w:val="TitleChar"/>
    <w:autoRedefine/>
    <w:uiPriority w:val="10"/>
    <w:qFormat/>
    <w:rsid w:val="00A86B36"/>
    <w:pPr>
      <w:spacing w:before="240" w:after="60"/>
      <w:jc w:val="center"/>
      <w:outlineLvl w:val="0"/>
    </w:pPr>
    <w:rPr>
      <w:rFonts w:eastAsia="Times New Roman"/>
      <w:b/>
      <w:bCs/>
      <w:color w:val="00408E"/>
      <w:kern w:val="28"/>
      <w:sz w:val="48"/>
      <w:szCs w:val="48"/>
    </w:rPr>
  </w:style>
  <w:style w:type="paragraph" w:styleId="BodyText">
    <w:name w:val="Body Text"/>
    <w:link w:val="BodyTextChar"/>
    <w:uiPriority w:val="1"/>
    <w:unhideWhenUsed/>
    <w:qFormat/>
    <w:rsid w:val="004E22C7"/>
    <w:pPr>
      <w:spacing w:after="200" w:line="276" w:lineRule="auto"/>
      <w:jc w:val="both"/>
    </w:pPr>
    <w:rPr>
      <w:szCs w:val="22"/>
      <w:lang w:eastAsia="en-US"/>
    </w:rPr>
  </w:style>
  <w:style w:type="character" w:customStyle="1" w:styleId="BodyTextChar">
    <w:name w:val="Body Text Char"/>
    <w:basedOn w:val="DefaultParagraphFont"/>
    <w:link w:val="BodyText"/>
    <w:uiPriority w:val="1"/>
    <w:rsid w:val="004E22C7"/>
    <w:rPr>
      <w:szCs w:val="22"/>
      <w:lang w:val="en-AU" w:eastAsia="en-US" w:bidi="ar-SA"/>
    </w:rPr>
  </w:style>
  <w:style w:type="character" w:customStyle="1" w:styleId="TitleChar">
    <w:name w:val="Title Char"/>
    <w:basedOn w:val="DefaultParagraphFont"/>
    <w:link w:val="Title"/>
    <w:uiPriority w:val="10"/>
    <w:rsid w:val="00A86B36"/>
    <w:rPr>
      <w:rFonts w:eastAsia="Times New Roman"/>
      <w:b/>
      <w:bCs/>
      <w:color w:val="00408E"/>
      <w:kern w:val="28"/>
      <w:sz w:val="48"/>
      <w:szCs w:val="48"/>
      <w:lang w:val="en-AU"/>
    </w:rPr>
  </w:style>
  <w:style w:type="character" w:styleId="Hyperlink">
    <w:name w:val="Hyperlink"/>
    <w:basedOn w:val="DefaultParagraphFont"/>
    <w:uiPriority w:val="99"/>
    <w:unhideWhenUsed/>
    <w:rsid w:val="0072423D"/>
    <w:rPr>
      <w:color w:val="0000FF"/>
      <w:u w:val="single"/>
    </w:rPr>
  </w:style>
  <w:style w:type="character" w:customStyle="1" w:styleId="Heading3Char">
    <w:name w:val="Heading 3 Char"/>
    <w:basedOn w:val="DefaultParagraphFont"/>
    <w:link w:val="Heading3"/>
    <w:uiPriority w:val="9"/>
    <w:rsid w:val="00CF4E9A"/>
    <w:rPr>
      <w:b/>
      <w:color w:val="00408E"/>
      <w:szCs w:val="22"/>
      <w:lang w:val="en-AU"/>
    </w:rPr>
  </w:style>
  <w:style w:type="character" w:customStyle="1" w:styleId="Heading4Char">
    <w:name w:val="Heading 4 Char"/>
    <w:basedOn w:val="DefaultParagraphFont"/>
    <w:link w:val="Heading4"/>
    <w:uiPriority w:val="9"/>
    <w:rsid w:val="004E22C7"/>
    <w:rPr>
      <w:color w:val="00408E"/>
      <w:szCs w:val="22"/>
      <w:lang w:val="en-AU"/>
    </w:rPr>
  </w:style>
  <w:style w:type="paragraph" w:styleId="ListBullet">
    <w:name w:val="List Bullet"/>
    <w:basedOn w:val="ListBullet5"/>
    <w:uiPriority w:val="99"/>
    <w:unhideWhenUsed/>
    <w:qFormat/>
    <w:rsid w:val="004837E2"/>
    <w:pPr>
      <w:tabs>
        <w:tab w:val="num" w:pos="644"/>
      </w:tabs>
      <w:ind w:left="641" w:hanging="357"/>
      <w:contextualSpacing w:val="0"/>
    </w:pPr>
  </w:style>
  <w:style w:type="paragraph" w:styleId="ListBullet2">
    <w:name w:val="List Bullet 2"/>
    <w:basedOn w:val="ListBullet"/>
    <w:uiPriority w:val="99"/>
    <w:unhideWhenUsed/>
    <w:rsid w:val="008C4F95"/>
    <w:pPr>
      <w:numPr>
        <w:numId w:val="12"/>
      </w:numPr>
      <w:tabs>
        <w:tab w:val="num" w:pos="1492"/>
      </w:tabs>
      <w:ind w:left="993"/>
    </w:pPr>
  </w:style>
  <w:style w:type="paragraph" w:styleId="ListContinue">
    <w:name w:val="List Continue"/>
    <w:basedOn w:val="Normal"/>
    <w:uiPriority w:val="99"/>
    <w:unhideWhenUsed/>
    <w:rsid w:val="003961C1"/>
    <w:pPr>
      <w:spacing w:line="276" w:lineRule="auto"/>
      <w:ind w:left="283"/>
      <w:contextualSpacing/>
      <w:jc w:val="both"/>
    </w:pPr>
    <w:rPr>
      <w:rFonts w:ascii="Century Gothic" w:eastAsia="Calibri" w:hAnsi="Century Gothic" w:cstheme="minorBidi"/>
      <w:sz w:val="20"/>
      <w:szCs w:val="22"/>
      <w:lang w:val="en-US"/>
    </w:rPr>
  </w:style>
  <w:style w:type="paragraph" w:styleId="ListBullet3">
    <w:name w:val="List Bullet 3"/>
    <w:basedOn w:val="Normal"/>
    <w:uiPriority w:val="99"/>
    <w:unhideWhenUsed/>
    <w:rsid w:val="003961C1"/>
    <w:pPr>
      <w:numPr>
        <w:numId w:val="3"/>
      </w:numPr>
      <w:spacing w:after="200" w:line="276" w:lineRule="auto"/>
      <w:contextualSpacing/>
      <w:jc w:val="both"/>
    </w:pPr>
    <w:rPr>
      <w:rFonts w:ascii="Century Gothic" w:eastAsia="Calibri" w:hAnsi="Century Gothic" w:cstheme="minorBidi"/>
      <w:sz w:val="20"/>
      <w:szCs w:val="22"/>
      <w:lang w:val="en-US"/>
    </w:rPr>
  </w:style>
  <w:style w:type="paragraph" w:styleId="ListBullet4">
    <w:name w:val="List Bullet 4"/>
    <w:basedOn w:val="Normal"/>
    <w:uiPriority w:val="99"/>
    <w:unhideWhenUsed/>
    <w:rsid w:val="003961C1"/>
    <w:pPr>
      <w:numPr>
        <w:numId w:val="4"/>
      </w:numPr>
      <w:spacing w:after="200" w:line="276" w:lineRule="auto"/>
      <w:contextualSpacing/>
      <w:jc w:val="both"/>
    </w:pPr>
    <w:rPr>
      <w:rFonts w:ascii="Century Gothic" w:eastAsia="Calibri" w:hAnsi="Century Gothic" w:cstheme="minorBidi"/>
      <w:sz w:val="20"/>
      <w:szCs w:val="22"/>
      <w:lang w:val="en-US"/>
    </w:rPr>
  </w:style>
  <w:style w:type="paragraph" w:styleId="ListBullet5">
    <w:name w:val="List Bullet 5"/>
    <w:basedOn w:val="Normal"/>
    <w:uiPriority w:val="99"/>
    <w:unhideWhenUsed/>
    <w:rsid w:val="003961C1"/>
    <w:pPr>
      <w:numPr>
        <w:numId w:val="5"/>
      </w:numPr>
      <w:spacing w:after="200" w:line="276" w:lineRule="auto"/>
      <w:contextualSpacing/>
      <w:jc w:val="both"/>
    </w:pPr>
    <w:rPr>
      <w:rFonts w:ascii="Century Gothic" w:eastAsia="Calibri" w:hAnsi="Century Gothic" w:cstheme="minorBidi"/>
      <w:sz w:val="20"/>
      <w:szCs w:val="22"/>
      <w:lang w:val="en-US"/>
    </w:rPr>
  </w:style>
  <w:style w:type="paragraph" w:styleId="ListParagraph">
    <w:name w:val="List Paragraph"/>
    <w:basedOn w:val="Normal"/>
    <w:uiPriority w:val="34"/>
    <w:qFormat/>
    <w:rsid w:val="00C26F6D"/>
    <w:pPr>
      <w:spacing w:after="200" w:line="276" w:lineRule="auto"/>
      <w:ind w:left="720"/>
      <w:jc w:val="both"/>
    </w:pPr>
    <w:rPr>
      <w:rFonts w:ascii="Century Gothic" w:eastAsia="Calibri" w:hAnsi="Century Gothic" w:cstheme="minorBidi"/>
      <w:sz w:val="20"/>
      <w:szCs w:val="22"/>
      <w:lang w:val="en-US"/>
    </w:rPr>
  </w:style>
  <w:style w:type="paragraph" w:styleId="TOAHeading">
    <w:name w:val="toa heading"/>
    <w:basedOn w:val="Heading1"/>
    <w:next w:val="Normal"/>
    <w:uiPriority w:val="99"/>
    <w:unhideWhenUsed/>
    <w:rsid w:val="000C5167"/>
    <w:pPr>
      <w:spacing w:after="400"/>
    </w:pPr>
  </w:style>
  <w:style w:type="table" w:styleId="TableGrid">
    <w:name w:val="Table Grid"/>
    <w:basedOn w:val="TableNormal"/>
    <w:uiPriority w:val="5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eNormal"/>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rFonts w:ascii="Century Gothic" w:eastAsiaTheme="minorEastAsia" w:hAnsi="Century Gothic" w:cstheme="minorBidi"/>
      <w:sz w:val="18"/>
      <w:lang w:val="en-US"/>
    </w:rPr>
  </w:style>
  <w:style w:type="paragraph" w:styleId="NoSpacing">
    <w:name w:val="No Spacing"/>
    <w:uiPriority w:val="1"/>
    <w:qFormat/>
    <w:rsid w:val="00C2562C"/>
    <w:pPr>
      <w:jc w:val="both"/>
    </w:pPr>
    <w:rPr>
      <w:szCs w:val="22"/>
      <w:lang w:eastAsia="en-US"/>
    </w:rPr>
  </w:style>
  <w:style w:type="paragraph" w:styleId="FootnoteText">
    <w:name w:val="footnote text"/>
    <w:basedOn w:val="Normal"/>
    <w:link w:val="FootnoteTextChar"/>
    <w:uiPriority w:val="99"/>
    <w:unhideWhenUsed/>
    <w:rsid w:val="00406CEE"/>
    <w:rPr>
      <w:rFonts w:ascii="Century Gothic" w:eastAsiaTheme="minorEastAsia" w:hAnsi="Century Gothic" w:cstheme="minorBidi"/>
      <w:lang w:val="en-US"/>
    </w:rPr>
  </w:style>
  <w:style w:type="character" w:customStyle="1" w:styleId="FootnoteTextChar">
    <w:name w:val="Footnote Text Char"/>
    <w:basedOn w:val="DefaultParagraphFont"/>
    <w:link w:val="FootnoteText"/>
    <w:uiPriority w:val="99"/>
    <w:rsid w:val="00406CEE"/>
    <w:rPr>
      <w:rFonts w:ascii="Calibri" w:eastAsia="Times New Roman" w:hAnsi="Calibri" w:cs="Times New Roman"/>
      <w:sz w:val="24"/>
      <w:szCs w:val="24"/>
    </w:rPr>
  </w:style>
  <w:style w:type="character" w:styleId="FootnoteReference">
    <w:name w:val="footnote reference"/>
    <w:basedOn w:val="DefaultParagraphFont"/>
    <w:uiPriority w:val="99"/>
    <w:unhideWhenUsed/>
    <w:rsid w:val="00406CEE"/>
    <w:rPr>
      <w:vertAlign w:val="superscript"/>
    </w:rPr>
  </w:style>
  <w:style w:type="paragraph" w:styleId="BalloonText">
    <w:name w:val="Balloon Text"/>
    <w:basedOn w:val="Normal"/>
    <w:link w:val="BalloonTextChar"/>
    <w:uiPriority w:val="99"/>
    <w:semiHidden/>
    <w:unhideWhenUsed/>
    <w:rsid w:val="00406CEE"/>
    <w:rPr>
      <w:rFonts w:ascii="Tahoma" w:hAnsi="Tahoma" w:cs="Tahoma"/>
      <w:sz w:val="16"/>
      <w:szCs w:val="16"/>
    </w:rPr>
  </w:style>
  <w:style w:type="character" w:customStyle="1" w:styleId="BalloonTextChar">
    <w:name w:val="Balloon Text Char"/>
    <w:basedOn w:val="DefaultParagraphFont"/>
    <w:link w:val="BalloonText"/>
    <w:uiPriority w:val="99"/>
    <w:semiHidden/>
    <w:rsid w:val="00406CEE"/>
    <w:rPr>
      <w:rFonts w:ascii="Tahoma" w:eastAsia="Times New Roman" w:hAnsi="Tahoma" w:cs="Tahoma"/>
      <w:sz w:val="16"/>
      <w:szCs w:val="16"/>
    </w:rPr>
  </w:style>
  <w:style w:type="character" w:customStyle="1" w:styleId="apple-converted-space">
    <w:name w:val="apple-converted-space"/>
    <w:basedOn w:val="DefaultParagraphFont"/>
    <w:rsid w:val="00EF5A3C"/>
  </w:style>
  <w:style w:type="character" w:styleId="Strong">
    <w:name w:val="Strong"/>
    <w:basedOn w:val="DefaultParagraphFont"/>
    <w:uiPriority w:val="22"/>
    <w:qFormat/>
    <w:rsid w:val="00EF5A3C"/>
    <w:rPr>
      <w:b/>
      <w:bCs/>
    </w:rPr>
  </w:style>
  <w:style w:type="character" w:styleId="FollowedHyperlink">
    <w:name w:val="FollowedHyperlink"/>
    <w:basedOn w:val="DefaultParagraphFont"/>
    <w:uiPriority w:val="99"/>
    <w:semiHidden/>
    <w:unhideWhenUsed/>
    <w:rsid w:val="00EF5A3C"/>
    <w:rPr>
      <w:color w:val="954F72" w:themeColor="followedHyperlink"/>
      <w:u w:val="single"/>
    </w:rPr>
  </w:style>
  <w:style w:type="paragraph" w:styleId="HTMLPreformatted">
    <w:name w:val="HTML Preformatted"/>
    <w:basedOn w:val="Normal"/>
    <w:link w:val="HTMLPreformattedChar"/>
    <w:uiPriority w:val="99"/>
    <w:semiHidden/>
    <w:unhideWhenUsed/>
    <w:rsid w:val="00767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rPr>
  </w:style>
  <w:style w:type="character" w:customStyle="1" w:styleId="HTMLPreformattedChar">
    <w:name w:val="HTML Preformatted Char"/>
    <w:basedOn w:val="DefaultParagraphFont"/>
    <w:link w:val="HTMLPreformatted"/>
    <w:uiPriority w:val="99"/>
    <w:semiHidden/>
    <w:rsid w:val="00767678"/>
    <w:rPr>
      <w:rFonts w:ascii="Courier" w:hAnsi="Courier" w:cs="Courier"/>
      <w:lang w:eastAsia="en-US"/>
    </w:rPr>
  </w:style>
  <w:style w:type="character" w:styleId="UnresolvedMention">
    <w:name w:val="Unresolved Mention"/>
    <w:basedOn w:val="DefaultParagraphFont"/>
    <w:uiPriority w:val="99"/>
    <w:rsid w:val="00F227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42705">
      <w:bodyDiv w:val="1"/>
      <w:marLeft w:val="0"/>
      <w:marRight w:val="0"/>
      <w:marTop w:val="0"/>
      <w:marBottom w:val="0"/>
      <w:divBdr>
        <w:top w:val="none" w:sz="0" w:space="0" w:color="auto"/>
        <w:left w:val="none" w:sz="0" w:space="0" w:color="auto"/>
        <w:bottom w:val="none" w:sz="0" w:space="0" w:color="auto"/>
        <w:right w:val="none" w:sz="0" w:space="0" w:color="auto"/>
      </w:divBdr>
    </w:div>
    <w:div w:id="345718011">
      <w:bodyDiv w:val="1"/>
      <w:marLeft w:val="0"/>
      <w:marRight w:val="0"/>
      <w:marTop w:val="0"/>
      <w:marBottom w:val="0"/>
      <w:divBdr>
        <w:top w:val="none" w:sz="0" w:space="0" w:color="auto"/>
        <w:left w:val="none" w:sz="0" w:space="0" w:color="auto"/>
        <w:bottom w:val="none" w:sz="0" w:space="0" w:color="auto"/>
        <w:right w:val="none" w:sz="0" w:space="0" w:color="auto"/>
      </w:divBdr>
    </w:div>
    <w:div w:id="356465316">
      <w:bodyDiv w:val="1"/>
      <w:marLeft w:val="0"/>
      <w:marRight w:val="0"/>
      <w:marTop w:val="0"/>
      <w:marBottom w:val="0"/>
      <w:divBdr>
        <w:top w:val="none" w:sz="0" w:space="0" w:color="auto"/>
        <w:left w:val="none" w:sz="0" w:space="0" w:color="auto"/>
        <w:bottom w:val="none" w:sz="0" w:space="0" w:color="auto"/>
        <w:right w:val="none" w:sz="0" w:space="0" w:color="auto"/>
      </w:divBdr>
    </w:div>
    <w:div w:id="533931658">
      <w:bodyDiv w:val="1"/>
      <w:marLeft w:val="0"/>
      <w:marRight w:val="0"/>
      <w:marTop w:val="0"/>
      <w:marBottom w:val="0"/>
      <w:divBdr>
        <w:top w:val="none" w:sz="0" w:space="0" w:color="auto"/>
        <w:left w:val="none" w:sz="0" w:space="0" w:color="auto"/>
        <w:bottom w:val="none" w:sz="0" w:space="0" w:color="auto"/>
        <w:right w:val="none" w:sz="0" w:space="0" w:color="auto"/>
      </w:divBdr>
    </w:div>
    <w:div w:id="552078163">
      <w:bodyDiv w:val="1"/>
      <w:marLeft w:val="0"/>
      <w:marRight w:val="0"/>
      <w:marTop w:val="0"/>
      <w:marBottom w:val="0"/>
      <w:divBdr>
        <w:top w:val="none" w:sz="0" w:space="0" w:color="auto"/>
        <w:left w:val="none" w:sz="0" w:space="0" w:color="auto"/>
        <w:bottom w:val="none" w:sz="0" w:space="0" w:color="auto"/>
        <w:right w:val="none" w:sz="0" w:space="0" w:color="auto"/>
      </w:divBdr>
    </w:div>
    <w:div w:id="658266965">
      <w:bodyDiv w:val="1"/>
      <w:marLeft w:val="0"/>
      <w:marRight w:val="0"/>
      <w:marTop w:val="0"/>
      <w:marBottom w:val="0"/>
      <w:divBdr>
        <w:top w:val="none" w:sz="0" w:space="0" w:color="auto"/>
        <w:left w:val="none" w:sz="0" w:space="0" w:color="auto"/>
        <w:bottom w:val="none" w:sz="0" w:space="0" w:color="auto"/>
        <w:right w:val="none" w:sz="0" w:space="0" w:color="auto"/>
      </w:divBdr>
    </w:div>
    <w:div w:id="662708080">
      <w:bodyDiv w:val="1"/>
      <w:marLeft w:val="0"/>
      <w:marRight w:val="0"/>
      <w:marTop w:val="0"/>
      <w:marBottom w:val="0"/>
      <w:divBdr>
        <w:top w:val="none" w:sz="0" w:space="0" w:color="auto"/>
        <w:left w:val="none" w:sz="0" w:space="0" w:color="auto"/>
        <w:bottom w:val="none" w:sz="0" w:space="0" w:color="auto"/>
        <w:right w:val="none" w:sz="0" w:space="0" w:color="auto"/>
      </w:divBdr>
    </w:div>
    <w:div w:id="1677801155">
      <w:bodyDiv w:val="1"/>
      <w:marLeft w:val="0"/>
      <w:marRight w:val="0"/>
      <w:marTop w:val="0"/>
      <w:marBottom w:val="0"/>
      <w:divBdr>
        <w:top w:val="none" w:sz="0" w:space="0" w:color="auto"/>
        <w:left w:val="none" w:sz="0" w:space="0" w:color="auto"/>
        <w:bottom w:val="none" w:sz="0" w:space="0" w:color="auto"/>
        <w:right w:val="none" w:sz="0" w:space="0" w:color="auto"/>
      </w:divBdr>
    </w:div>
    <w:div w:id="1762411028">
      <w:bodyDiv w:val="1"/>
      <w:marLeft w:val="0"/>
      <w:marRight w:val="0"/>
      <w:marTop w:val="0"/>
      <w:marBottom w:val="0"/>
      <w:divBdr>
        <w:top w:val="none" w:sz="0" w:space="0" w:color="auto"/>
        <w:left w:val="none" w:sz="0" w:space="0" w:color="auto"/>
        <w:bottom w:val="none" w:sz="0" w:space="0" w:color="auto"/>
        <w:right w:val="none" w:sz="0" w:space="0" w:color="auto"/>
      </w:divBdr>
    </w:div>
    <w:div w:id="205221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resolutions-abudhabi60-gac-advice-scorecard-04feb18-e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large.ican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cann.org/" TargetMode="External"/><Relationship Id="rId4" Type="http://schemas.openxmlformats.org/officeDocument/2006/relationships/settings" Target="settings.xml"/><Relationship Id="rId9" Type="http://schemas.openxmlformats.org/officeDocument/2006/relationships/hyperlink" Target="https://www.icann.org/news/blog/the-information-transparency-initiative-iti-feedback-site-is-now-liv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C1A40-BF1A-D945-8B69-E74903463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3924</CharactersWithSpaces>
  <SharedDoc>false</SharedDoc>
  <HLinks>
    <vt:vector size="12" baseType="variant">
      <vt:variant>
        <vt:i4>1048631</vt:i4>
      </vt:variant>
      <vt:variant>
        <vt:i4>8</vt:i4>
      </vt:variant>
      <vt:variant>
        <vt:i4>0</vt:i4>
      </vt:variant>
      <vt:variant>
        <vt:i4>5</vt:i4>
      </vt:variant>
      <vt:variant>
        <vt:lpwstr/>
      </vt:variant>
      <vt:variant>
        <vt:lpwstr>_Toc231267216</vt:lpwstr>
      </vt:variant>
      <vt:variant>
        <vt:i4>1048631</vt:i4>
      </vt:variant>
      <vt:variant>
        <vt:i4>2</vt:i4>
      </vt:variant>
      <vt:variant>
        <vt:i4>0</vt:i4>
      </vt:variant>
      <vt:variant>
        <vt:i4>5</vt:i4>
      </vt:variant>
      <vt:variant>
        <vt:lpwstr/>
      </vt:variant>
      <vt:variant>
        <vt:lpwstr>_Toc231267215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Client's Name and/or Logo</dc:subject>
  <dc:creator>Thomas Dale</dc:creator>
  <cp:lastModifiedBy>Tom Dale</cp:lastModifiedBy>
  <cp:revision>6</cp:revision>
  <cp:lastPrinted>2013-11-27T05:14:00Z</cp:lastPrinted>
  <dcterms:created xsi:type="dcterms:W3CDTF">2018-05-29T05:31:00Z</dcterms:created>
  <dcterms:modified xsi:type="dcterms:W3CDTF">2018-06-07T02:03:00Z</dcterms:modified>
</cp:coreProperties>
</file>